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drawings/drawing1.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A3C130" w14:textId="2A7B5BDE" w:rsidR="00832324" w:rsidRDefault="00976998" w:rsidP="00FE645A">
      <w:pPr>
        <w:pStyle w:val="Title"/>
      </w:pPr>
      <w:r>
        <w:t>Tobramycin</w:t>
      </w:r>
      <w:r w:rsidR="005A4092">
        <w:t xml:space="preserve"> inhalation</w:t>
      </w:r>
      <w:r w:rsidR="00421E3E">
        <w:t xml:space="preserve"> for cystic fibrosis</w:t>
      </w:r>
      <w:bookmarkStart w:id="0" w:name="_GoBack"/>
      <w:bookmarkEnd w:id="0"/>
      <w:r w:rsidR="001C4016">
        <w:t xml:space="preserve">: </w:t>
      </w:r>
      <w:r>
        <w:t xml:space="preserve">24 month predicted versus actual </w:t>
      </w:r>
      <w:r w:rsidR="001C4016">
        <w:t>a</w:t>
      </w:r>
      <w:r>
        <w:t>nalysis</w:t>
      </w:r>
    </w:p>
    <w:p w14:paraId="68F00614" w14:textId="799F8740" w:rsidR="00736041" w:rsidRPr="001D390D" w:rsidRDefault="009053D3" w:rsidP="001D390D">
      <w:pPr>
        <w:pStyle w:val="Heading1"/>
      </w:pPr>
      <w:r w:rsidRPr="001D390D">
        <w:t>D</w:t>
      </w:r>
      <w:r w:rsidR="00832324" w:rsidRPr="001D390D">
        <w:t>rug utilisation sub-committee (DUSC)</w:t>
      </w:r>
    </w:p>
    <w:p w14:paraId="78148839" w14:textId="576B1B2F" w:rsidR="009053D3" w:rsidRPr="001D390D" w:rsidRDefault="00976998" w:rsidP="001D390D">
      <w:pPr>
        <w:pStyle w:val="Heading2"/>
      </w:pPr>
      <w:r>
        <w:t>October 2014</w:t>
      </w:r>
    </w:p>
    <w:p w14:paraId="7EFD635C" w14:textId="77777777" w:rsidR="000F760B" w:rsidRPr="001D390D" w:rsidRDefault="000F760B" w:rsidP="001D390D">
      <w:pPr>
        <w:pStyle w:val="Heading3"/>
      </w:pPr>
      <w:r w:rsidRPr="001D390D">
        <w:t>Abstract</w:t>
      </w:r>
    </w:p>
    <w:p w14:paraId="59D9C006" w14:textId="77777777" w:rsidR="000F760B" w:rsidRDefault="000F760B" w:rsidP="00A55579">
      <w:pPr>
        <w:pStyle w:val="Heading4"/>
      </w:pPr>
      <w:r>
        <w:t>Purpose</w:t>
      </w:r>
    </w:p>
    <w:p w14:paraId="45015076" w14:textId="55343994" w:rsidR="007607F3" w:rsidRDefault="002742DA" w:rsidP="007607F3">
      <w:proofErr w:type="gramStart"/>
      <w:r w:rsidRPr="002742DA">
        <w:t>To examine the utilisation of tobramycin solution for inhalation (TSI) in the 24 months since PBS listing on 1 October 2011.</w:t>
      </w:r>
      <w:proofErr w:type="gramEnd"/>
      <w:r w:rsidRPr="002742DA">
        <w:t xml:space="preserve">  TSI is listed for the management of a proven </w:t>
      </w:r>
      <w:r w:rsidRPr="003C5FE8">
        <w:rPr>
          <w:i/>
        </w:rPr>
        <w:t xml:space="preserve">Pseudomonas </w:t>
      </w:r>
      <w:proofErr w:type="spellStart"/>
      <w:r w:rsidRPr="003C5FE8">
        <w:rPr>
          <w:i/>
        </w:rPr>
        <w:t>aeruginosa</w:t>
      </w:r>
      <w:proofErr w:type="spellEnd"/>
      <w:r w:rsidRPr="002742DA">
        <w:t xml:space="preserve"> infection in cystic fibrosis patients.</w:t>
      </w:r>
      <w:r w:rsidR="007607F3">
        <w:t xml:space="preserve">  The DUSC regularly examines utilisation of PBS items when there is at least 24 months of prescription data available and where the DUSC or the PBAC has</w:t>
      </w:r>
      <w:r w:rsidR="006D35B6">
        <w:t xml:space="preserve"> </w:t>
      </w:r>
      <w:r w:rsidR="00EC173E">
        <w:t>requested analysis of utilisation.</w:t>
      </w:r>
    </w:p>
    <w:p w14:paraId="3BA390B2" w14:textId="581F46EF" w:rsidR="00856BB4" w:rsidRDefault="00856BB4" w:rsidP="00A55579">
      <w:pPr>
        <w:pStyle w:val="Heading4"/>
      </w:pPr>
      <w:r w:rsidRPr="00E05D90">
        <w:t>Date of listing on PBS</w:t>
      </w:r>
    </w:p>
    <w:p w14:paraId="76508711" w14:textId="0A5A839A" w:rsidR="00F05BC6" w:rsidRPr="00F05BC6" w:rsidRDefault="00F05BC6" w:rsidP="00F05BC6">
      <w:r>
        <w:t>1 October 2011.</w:t>
      </w:r>
    </w:p>
    <w:p w14:paraId="0A327B3F" w14:textId="77777777" w:rsidR="000F760B" w:rsidRDefault="000F760B" w:rsidP="00A55579">
      <w:pPr>
        <w:pStyle w:val="Heading4"/>
      </w:pPr>
      <w:r>
        <w:t>Data Source / methodology</w:t>
      </w:r>
    </w:p>
    <w:p w14:paraId="5C820DBE" w14:textId="799C4125" w:rsidR="00BC693F" w:rsidRPr="00BC693F" w:rsidRDefault="00BC693F" w:rsidP="00BC693F">
      <w:r w:rsidRPr="00BC693F">
        <w:t>The Department of Hu</w:t>
      </w:r>
      <w:r w:rsidR="00C359F3">
        <w:t>man Services (Medicare</w:t>
      </w:r>
      <w:r w:rsidRPr="00BC693F">
        <w:t>) Supplied Prescriptions Database was used for the analyses.</w:t>
      </w:r>
      <w:r w:rsidR="00B03E00">
        <w:t xml:space="preserve">  </w:t>
      </w:r>
      <w:r w:rsidR="00B03E00" w:rsidRPr="00B03E00">
        <w:t>The analyses are based on the date of prescription supply unless otherwise stated.</w:t>
      </w:r>
    </w:p>
    <w:p w14:paraId="49E08693" w14:textId="77777777" w:rsidR="000F760B" w:rsidRDefault="000F760B" w:rsidP="00A55579">
      <w:pPr>
        <w:pStyle w:val="Heading4"/>
      </w:pPr>
      <w:r>
        <w:t>Key Findings</w:t>
      </w:r>
    </w:p>
    <w:p w14:paraId="11797C96" w14:textId="77777777" w:rsidR="00E773C2" w:rsidRDefault="00E773C2" w:rsidP="00E773C2">
      <w:pPr>
        <w:pStyle w:val="ListParagraph"/>
        <w:numPr>
          <w:ilvl w:val="0"/>
          <w:numId w:val="3"/>
        </w:numPr>
      </w:pPr>
      <w:r w:rsidRPr="00E773C2">
        <w:t>1,213 and 1,332 patients received TSI in the first and second year of PBS listing. The total number of patients treated with tobramycin in the second year of listing w</w:t>
      </w:r>
      <w:r>
        <w:t>as close to what was predicted.</w:t>
      </w:r>
    </w:p>
    <w:p w14:paraId="38B57ECC" w14:textId="421F279B" w:rsidR="00BB0D1A" w:rsidRPr="00E773C2" w:rsidRDefault="00E773C2" w:rsidP="00E773C2">
      <w:pPr>
        <w:pStyle w:val="ListParagraph"/>
        <w:numPr>
          <w:ilvl w:val="0"/>
          <w:numId w:val="3"/>
        </w:numPr>
        <w:rPr>
          <w:rFonts w:eastAsiaTheme="majorEastAsia" w:cstheme="majorBidi"/>
          <w:b/>
          <w:bCs/>
          <w:sz w:val="32"/>
          <w:szCs w:val="26"/>
        </w:rPr>
      </w:pPr>
      <w:r w:rsidRPr="00E773C2">
        <w:t>The number of TSI packs supplied and Government expen</w:t>
      </w:r>
      <w:r w:rsidR="008D69B7">
        <w:t xml:space="preserve">diture was lower than expected.  </w:t>
      </w:r>
      <w:r w:rsidRPr="00E773C2">
        <w:t xml:space="preserve">This appears to be due to patients aged 10 years and over receiving fewer prescriptions per year than expected. </w:t>
      </w:r>
      <w:r w:rsidR="00BB0D1A">
        <w:br w:type="page"/>
      </w:r>
    </w:p>
    <w:p w14:paraId="5B262047" w14:textId="525241DC" w:rsidR="00E677DD" w:rsidRDefault="00E677DD" w:rsidP="001D390D">
      <w:pPr>
        <w:pStyle w:val="Heading3"/>
      </w:pPr>
      <w:r w:rsidRPr="005E22C2">
        <w:lastRenderedPageBreak/>
        <w:t xml:space="preserve">Purpose of </w:t>
      </w:r>
      <w:r w:rsidR="00D151EB">
        <w:t>analysis</w:t>
      </w:r>
    </w:p>
    <w:p w14:paraId="2F9031F3" w14:textId="34E373C0" w:rsidR="00CB29BB" w:rsidRPr="00CB29BB" w:rsidRDefault="00CB29BB" w:rsidP="00CB29BB">
      <w:r w:rsidRPr="00CB29BB">
        <w:t xml:space="preserve">This report examines the utilisation of tobramycin solution for inhalation (TSI) in the 24 months since PBS listing on 1 October 2011.  TSI is a nebulised antibiotic listed for the management of a proven </w:t>
      </w:r>
      <w:r w:rsidRPr="00CB29BB">
        <w:rPr>
          <w:i/>
        </w:rPr>
        <w:t xml:space="preserve">Pseudomonas </w:t>
      </w:r>
      <w:proofErr w:type="spellStart"/>
      <w:r w:rsidRPr="00CB29BB">
        <w:rPr>
          <w:i/>
        </w:rPr>
        <w:t>aeruginosa</w:t>
      </w:r>
      <w:proofErr w:type="spellEnd"/>
      <w:r w:rsidRPr="00CB29BB">
        <w:t xml:space="preserve"> infection in cystic fibrosis (CF) patients.</w:t>
      </w:r>
    </w:p>
    <w:p w14:paraId="0A7F0B57" w14:textId="034D22D5" w:rsidR="006537D9" w:rsidRPr="005E22C2" w:rsidRDefault="00736041" w:rsidP="001D390D">
      <w:pPr>
        <w:pStyle w:val="Heading3"/>
      </w:pPr>
      <w:r w:rsidRPr="005E22C2">
        <w:t>Background</w:t>
      </w:r>
    </w:p>
    <w:p w14:paraId="0183A567" w14:textId="1BE196A9" w:rsidR="007247B9" w:rsidRDefault="007247B9" w:rsidP="00E376AA">
      <w:pPr>
        <w:pStyle w:val="Heading4"/>
      </w:pPr>
      <w:r w:rsidRPr="00E376AA">
        <w:t>Pharmacology</w:t>
      </w:r>
      <w:r w:rsidR="000A17ED">
        <w:rPr>
          <w:rStyle w:val="FootnoteReference"/>
        </w:rPr>
        <w:footnoteReference w:id="1"/>
      </w:r>
    </w:p>
    <w:p w14:paraId="6DF5B8CB" w14:textId="1F3C729D" w:rsidR="004D3949" w:rsidRPr="004D3949" w:rsidRDefault="004D3949" w:rsidP="004D3949">
      <w:r w:rsidRPr="004D3949">
        <w:t>Tobramycin is an aminoglycoside antibiotic that disrupts protein synthesis in bacterial cells, ev</w:t>
      </w:r>
      <w:r w:rsidR="006F187B">
        <w:t xml:space="preserve">entually leading to cell death.  </w:t>
      </w:r>
      <w:r w:rsidRPr="004D3949">
        <w:t xml:space="preserve">Tobramycin has activity against </w:t>
      </w:r>
      <w:r w:rsidRPr="006F187B">
        <w:rPr>
          <w:i/>
        </w:rPr>
        <w:t xml:space="preserve">Pseudomonas </w:t>
      </w:r>
      <w:proofErr w:type="spellStart"/>
      <w:r w:rsidRPr="006F187B">
        <w:rPr>
          <w:i/>
        </w:rPr>
        <w:t>aeruginosa</w:t>
      </w:r>
      <w:proofErr w:type="spellEnd"/>
      <w:r w:rsidRPr="004D3949">
        <w:t xml:space="preserve"> (</w:t>
      </w:r>
      <w:r w:rsidRPr="006F187B">
        <w:rPr>
          <w:i/>
        </w:rPr>
        <w:t xml:space="preserve">P. </w:t>
      </w:r>
      <w:proofErr w:type="spellStart"/>
      <w:r w:rsidRPr="006F187B">
        <w:rPr>
          <w:i/>
        </w:rPr>
        <w:t>aeruginosa</w:t>
      </w:r>
      <w:proofErr w:type="spellEnd"/>
      <w:r w:rsidRPr="004D3949">
        <w:t>) and other gram negative bacteria.</w:t>
      </w:r>
    </w:p>
    <w:p w14:paraId="6AC18C88" w14:textId="41574320" w:rsidR="001420B3" w:rsidRPr="00DE260E" w:rsidRDefault="001420B3" w:rsidP="00DD70ED">
      <w:pPr>
        <w:pStyle w:val="Heading4"/>
      </w:pPr>
      <w:r w:rsidRPr="00DE260E">
        <w:t>T</w:t>
      </w:r>
      <w:r w:rsidR="000F22BC" w:rsidRPr="00DE260E">
        <w:t xml:space="preserve">herapeutic </w:t>
      </w:r>
      <w:r w:rsidRPr="00DE260E">
        <w:t>G</w:t>
      </w:r>
      <w:r w:rsidR="000F22BC" w:rsidRPr="00DE260E">
        <w:t xml:space="preserve">oods </w:t>
      </w:r>
      <w:r w:rsidRPr="00DE260E">
        <w:t>A</w:t>
      </w:r>
      <w:r w:rsidR="000F22BC" w:rsidRPr="00DE260E">
        <w:t>dministration (TGA)</w:t>
      </w:r>
      <w:r w:rsidRPr="00DE260E">
        <w:t xml:space="preserve"> approved indications</w:t>
      </w:r>
      <w:r w:rsidR="009F6D66" w:rsidRPr="009F6D66">
        <w:rPr>
          <w:vertAlign w:val="superscript"/>
        </w:rPr>
        <w:t>1</w:t>
      </w:r>
    </w:p>
    <w:p w14:paraId="1E393897" w14:textId="337C975F" w:rsidR="001420B3" w:rsidRDefault="002F731E" w:rsidP="00A35800">
      <w:r w:rsidRPr="002F731E">
        <w:t xml:space="preserve">TSI is indicated for the management of cystic fibrosis patients with </w:t>
      </w:r>
      <w:r w:rsidRPr="0020680C">
        <w:rPr>
          <w:i/>
        </w:rPr>
        <w:t xml:space="preserve">P. </w:t>
      </w:r>
      <w:proofErr w:type="spellStart"/>
      <w:r w:rsidRPr="0020680C">
        <w:rPr>
          <w:i/>
        </w:rPr>
        <w:t>aeruginosa</w:t>
      </w:r>
      <w:proofErr w:type="spellEnd"/>
      <w:r w:rsidRPr="002F731E">
        <w:t xml:space="preserve"> infections.</w:t>
      </w:r>
    </w:p>
    <w:p w14:paraId="15E919C1" w14:textId="5813474F" w:rsidR="006B709B" w:rsidRPr="00BC4503" w:rsidRDefault="006B709B" w:rsidP="00DD70ED">
      <w:pPr>
        <w:pStyle w:val="Heading4"/>
        <w:rPr>
          <w:vertAlign w:val="superscript"/>
        </w:rPr>
      </w:pPr>
      <w:r w:rsidRPr="00DE260E">
        <w:t>Dosage and administration</w:t>
      </w:r>
      <w:r w:rsidR="00BC4503">
        <w:rPr>
          <w:vertAlign w:val="superscript"/>
        </w:rPr>
        <w:t>1</w:t>
      </w:r>
    </w:p>
    <w:p w14:paraId="798AA616" w14:textId="76745008" w:rsidR="00AC6C24" w:rsidRDefault="00C8162C" w:rsidP="00A35800">
      <w:r>
        <w:t xml:space="preserve">A single ampoule containing </w:t>
      </w:r>
      <w:r w:rsidR="00314291">
        <w:t>300</w:t>
      </w:r>
      <w:r>
        <w:t xml:space="preserve"> </w:t>
      </w:r>
      <w:r w:rsidR="00314291">
        <w:t xml:space="preserve">mg of </w:t>
      </w:r>
      <w:r w:rsidR="00314291" w:rsidRPr="00E760E0">
        <w:t>T</w:t>
      </w:r>
      <w:r w:rsidR="00314291">
        <w:t>SI is administered by nebuliser twice daily, 12 hours apart,</w:t>
      </w:r>
      <w:r w:rsidR="00314291" w:rsidRPr="00E760E0">
        <w:t xml:space="preserve"> </w:t>
      </w:r>
      <w:r w:rsidR="00314291">
        <w:t>in</w:t>
      </w:r>
      <w:r w:rsidR="00314291" w:rsidRPr="00E760E0">
        <w:t xml:space="preserve"> </w:t>
      </w:r>
      <w:r w:rsidR="00314291">
        <w:t>alternating cycles of 28</w:t>
      </w:r>
      <w:r w:rsidR="00314291" w:rsidRPr="00E760E0">
        <w:t xml:space="preserve"> day</w:t>
      </w:r>
      <w:r w:rsidR="00314291">
        <w:t>s</w:t>
      </w:r>
      <w:r w:rsidR="00060811">
        <w:t xml:space="preserve">.  </w:t>
      </w:r>
      <w:r w:rsidR="00200302">
        <w:t>After a cycle of</w:t>
      </w:r>
      <w:r w:rsidR="00314291">
        <w:t xml:space="preserve"> </w:t>
      </w:r>
      <w:r w:rsidR="00200302">
        <w:t xml:space="preserve">28 days of </w:t>
      </w:r>
      <w:r w:rsidR="00314291">
        <w:t>treatment, patients s</w:t>
      </w:r>
      <w:r w:rsidR="00200302">
        <w:t xml:space="preserve">hould stop therapy for 28 days.  </w:t>
      </w:r>
      <w:r w:rsidR="00314291">
        <w:t xml:space="preserve">Treatment is continued as long as the patient is gaining clinical benefit from the treatment. </w:t>
      </w:r>
    </w:p>
    <w:p w14:paraId="337D0FBB" w14:textId="7FC8A6FC" w:rsidR="006B709B" w:rsidRPr="002F61CA" w:rsidRDefault="006B709B" w:rsidP="00A35800">
      <w:r w:rsidRPr="002F61CA">
        <w:t xml:space="preserve">The current Product Information (PI) and Consumer Medicine Information (CMI) are available from </w:t>
      </w:r>
      <w:hyperlink r:id="rId9" w:history="1">
        <w:r w:rsidR="004B552B">
          <w:rPr>
            <w:rStyle w:val="Hyperlink"/>
          </w:rPr>
          <w:t>the TGA (Product Information)</w:t>
        </w:r>
      </w:hyperlink>
      <w:r w:rsidR="00561CB4">
        <w:t xml:space="preserve"> and </w:t>
      </w:r>
      <w:hyperlink r:id="rId10" w:history="1">
        <w:r w:rsidR="004B552B">
          <w:rPr>
            <w:rStyle w:val="Hyperlink"/>
          </w:rPr>
          <w:t>the TGA (Consumer Medicines Information)</w:t>
        </w:r>
      </w:hyperlink>
      <w:r w:rsidR="0024294B">
        <w:t>.</w:t>
      </w:r>
    </w:p>
    <w:p w14:paraId="143CC403" w14:textId="5A441729" w:rsidR="001420B3" w:rsidRDefault="001420B3" w:rsidP="002F63ED">
      <w:pPr>
        <w:pStyle w:val="Heading4"/>
      </w:pPr>
      <w:r w:rsidRPr="005C55C6">
        <w:t>Clinical situation</w:t>
      </w:r>
    </w:p>
    <w:p w14:paraId="13CA79BE" w14:textId="3F62D210" w:rsidR="00A9161D" w:rsidRDefault="00A9161D" w:rsidP="00A9161D">
      <w:r>
        <w:t>CF is a genetic condition that causes thickened, dehydrated secretions in the lungs, making patients vulnerable to chro</w:t>
      </w:r>
      <w:r w:rsidR="008520EF">
        <w:t xml:space="preserve">nic infection and lung damage.  </w:t>
      </w:r>
      <w:r>
        <w:t>CF affects other organs in the body however the majority of deaths are due to pulmonary causes.</w:t>
      </w:r>
      <w:r w:rsidR="006A5CFE">
        <w:rPr>
          <w:rStyle w:val="FootnoteReference"/>
        </w:rPr>
        <w:footnoteReference w:id="2"/>
      </w:r>
      <w:r w:rsidR="00B02C31">
        <w:t xml:space="preserve">  </w:t>
      </w:r>
      <w:r>
        <w:t xml:space="preserve">Chronic </w:t>
      </w:r>
      <w:r w:rsidRPr="00196800">
        <w:rPr>
          <w:i/>
        </w:rPr>
        <w:t xml:space="preserve">P. </w:t>
      </w:r>
      <w:proofErr w:type="spellStart"/>
      <w:r w:rsidRPr="00196800">
        <w:rPr>
          <w:i/>
        </w:rPr>
        <w:t>aeruginosa</w:t>
      </w:r>
      <w:proofErr w:type="spellEnd"/>
      <w:r>
        <w:t xml:space="preserve"> infection is associated with deterioration in lun</w:t>
      </w:r>
      <w:r w:rsidR="00196800">
        <w:t xml:space="preserve">g function and worse prognosis.  </w:t>
      </w:r>
      <w:r>
        <w:t>CF patients appear to develop non-</w:t>
      </w:r>
      <w:proofErr w:type="spellStart"/>
      <w:r>
        <w:t>mucoid</w:t>
      </w:r>
      <w:proofErr w:type="spellEnd"/>
      <w:r>
        <w:t xml:space="preserve"> </w:t>
      </w:r>
      <w:r w:rsidRPr="00152FFD">
        <w:rPr>
          <w:i/>
        </w:rPr>
        <w:t xml:space="preserve">P. </w:t>
      </w:r>
      <w:proofErr w:type="spellStart"/>
      <w:r w:rsidRPr="00152FFD">
        <w:rPr>
          <w:i/>
        </w:rPr>
        <w:t>aeruginosa</w:t>
      </w:r>
      <w:proofErr w:type="spellEnd"/>
      <w:r>
        <w:t xml:space="preserve"> infection in </w:t>
      </w:r>
      <w:r w:rsidR="00196800">
        <w:t>the first three years of life.</w:t>
      </w:r>
      <w:r w:rsidR="002D3EC5">
        <w:rPr>
          <w:rStyle w:val="FootnoteReference"/>
        </w:rPr>
        <w:footnoteReference w:id="3"/>
      </w:r>
      <w:r w:rsidR="00196800">
        <w:t xml:space="preserve"> </w:t>
      </w:r>
      <w:r>
        <w:t xml:space="preserve"> Over </w:t>
      </w:r>
      <w:r>
        <w:lastRenderedPageBreak/>
        <w:t>time, it is thought non-</w:t>
      </w:r>
      <w:proofErr w:type="spellStart"/>
      <w:r>
        <w:t>mucoid</w:t>
      </w:r>
      <w:proofErr w:type="spellEnd"/>
      <w:r>
        <w:t xml:space="preserve"> infection transforms to </w:t>
      </w:r>
      <w:proofErr w:type="spellStart"/>
      <w:r>
        <w:t>mucoid</w:t>
      </w:r>
      <w:proofErr w:type="spellEnd"/>
      <w:r>
        <w:t xml:space="preserve"> </w:t>
      </w:r>
      <w:r w:rsidRPr="00152FFD">
        <w:rPr>
          <w:i/>
        </w:rPr>
        <w:t xml:space="preserve">P. </w:t>
      </w:r>
      <w:proofErr w:type="spellStart"/>
      <w:r w:rsidRPr="00152FFD">
        <w:rPr>
          <w:i/>
        </w:rPr>
        <w:t>aeruginosa</w:t>
      </w:r>
      <w:proofErr w:type="spellEnd"/>
      <w:r>
        <w:t>.</w:t>
      </w:r>
      <w:r w:rsidR="00152FFD">
        <w:t xml:space="preserve">  </w:t>
      </w:r>
      <w:proofErr w:type="spellStart"/>
      <w:proofErr w:type="gramStart"/>
      <w:r>
        <w:t>Mucoid</w:t>
      </w:r>
      <w:proofErr w:type="spellEnd"/>
      <w:r>
        <w:t xml:space="preserve"> </w:t>
      </w:r>
      <w:r w:rsidRPr="00152FFD">
        <w:rPr>
          <w:i/>
        </w:rPr>
        <w:t>P.</w:t>
      </w:r>
      <w:proofErr w:type="gramEnd"/>
      <w:r w:rsidRPr="00152FFD">
        <w:rPr>
          <w:i/>
        </w:rPr>
        <w:t xml:space="preserve"> </w:t>
      </w:r>
      <w:r w:rsidR="00196800" w:rsidRPr="00152FFD">
        <w:rPr>
          <w:i/>
        </w:rPr>
        <w:t xml:space="preserve"> </w:t>
      </w:r>
      <w:proofErr w:type="spellStart"/>
      <w:proofErr w:type="gramStart"/>
      <w:r w:rsidRPr="00152FFD">
        <w:rPr>
          <w:i/>
        </w:rPr>
        <w:t>aeruginosa</w:t>
      </w:r>
      <w:proofErr w:type="spellEnd"/>
      <w:proofErr w:type="gramEnd"/>
      <w:r>
        <w:t xml:space="preserve"> produces an </w:t>
      </w:r>
      <w:proofErr w:type="spellStart"/>
      <w:r>
        <w:t>exopolysaccharide</w:t>
      </w:r>
      <w:proofErr w:type="spellEnd"/>
      <w:r>
        <w:t xml:space="preserve">/alginate substance making it resistant to immune clearance and current antibiotics. </w:t>
      </w:r>
      <w:r w:rsidR="00196800">
        <w:t xml:space="preserve"> </w:t>
      </w:r>
      <w:proofErr w:type="spellStart"/>
      <w:r>
        <w:t>Mucoid</w:t>
      </w:r>
      <w:proofErr w:type="spellEnd"/>
      <w:r>
        <w:t xml:space="preserve"> </w:t>
      </w:r>
      <w:r w:rsidRPr="00F22393">
        <w:rPr>
          <w:i/>
        </w:rPr>
        <w:t xml:space="preserve">P. </w:t>
      </w:r>
      <w:proofErr w:type="spellStart"/>
      <w:r w:rsidRPr="00F22393">
        <w:rPr>
          <w:i/>
        </w:rPr>
        <w:t>aeruginosa</w:t>
      </w:r>
      <w:proofErr w:type="spellEnd"/>
      <w:r>
        <w:t xml:space="preserve"> cannot be cleared by current treatments and is referred to as chronic </w:t>
      </w:r>
      <w:r w:rsidRPr="00F22393">
        <w:rPr>
          <w:i/>
        </w:rPr>
        <w:t xml:space="preserve">P. </w:t>
      </w:r>
      <w:proofErr w:type="spellStart"/>
      <w:r w:rsidRPr="00F22393">
        <w:rPr>
          <w:i/>
        </w:rPr>
        <w:t>aeruginosa</w:t>
      </w:r>
      <w:proofErr w:type="spellEnd"/>
      <w:r>
        <w:t xml:space="preserve"> infection. </w:t>
      </w:r>
    </w:p>
    <w:p w14:paraId="4A23F334" w14:textId="759193B9" w:rsidR="000069E2" w:rsidRPr="000069E2" w:rsidRDefault="00A9161D" w:rsidP="00A9161D">
      <w:r>
        <w:t xml:space="preserve">The aim of initial treatment of </w:t>
      </w:r>
      <w:r w:rsidRPr="00F22393">
        <w:rPr>
          <w:i/>
        </w:rPr>
        <w:t xml:space="preserve">P. </w:t>
      </w:r>
      <w:proofErr w:type="spellStart"/>
      <w:r w:rsidRPr="00F22393">
        <w:rPr>
          <w:i/>
        </w:rPr>
        <w:t>aeruginosa</w:t>
      </w:r>
      <w:proofErr w:type="spellEnd"/>
      <w:r>
        <w:t xml:space="preserve"> infection may be to eradicate the infection using inhaled tobramycin with other antibiotics such as oral ciprofloxacin or </w:t>
      </w:r>
      <w:proofErr w:type="spellStart"/>
      <w:r>
        <w:t>ticarcillin</w:t>
      </w:r>
      <w:proofErr w:type="spellEnd"/>
      <w:r>
        <w:t xml:space="preserve"> with </w:t>
      </w:r>
      <w:proofErr w:type="spellStart"/>
      <w:r>
        <w:t>clavulanic</w:t>
      </w:r>
      <w:proofErr w:type="spellEnd"/>
      <w:r>
        <w:t xml:space="preserve"> acid.</w:t>
      </w:r>
      <w:r w:rsidR="00625138">
        <w:rPr>
          <w:rStyle w:val="FootnoteReference"/>
        </w:rPr>
        <w:footnoteReference w:id="4"/>
      </w:r>
      <w:r>
        <w:t xml:space="preserve">  The Royal Children’s Hospital </w:t>
      </w:r>
      <w:r w:rsidR="005311A4">
        <w:t xml:space="preserve">Melbourne </w:t>
      </w:r>
      <w:r>
        <w:t xml:space="preserve">recommends </w:t>
      </w:r>
      <w:r w:rsidR="005311A4">
        <w:t xml:space="preserve">an eradication protocol of </w:t>
      </w:r>
      <w:r>
        <w:t xml:space="preserve">a three month course of nebulised tobramycin. </w:t>
      </w:r>
      <w:r w:rsidR="00196800">
        <w:t xml:space="preserve"> </w:t>
      </w:r>
      <w:r>
        <w:t xml:space="preserve">The prevalence of </w:t>
      </w:r>
      <w:r w:rsidRPr="00F22393">
        <w:rPr>
          <w:i/>
        </w:rPr>
        <w:t xml:space="preserve">P. </w:t>
      </w:r>
      <w:proofErr w:type="spellStart"/>
      <w:r w:rsidRPr="00F22393">
        <w:rPr>
          <w:i/>
        </w:rPr>
        <w:t>aeruginosa</w:t>
      </w:r>
      <w:proofErr w:type="spellEnd"/>
      <w:r w:rsidR="00E12685">
        <w:t xml:space="preserve"> infection increases with </w:t>
      </w:r>
      <w:proofErr w:type="gramStart"/>
      <w:r w:rsidR="00E12685">
        <w:t>age.</w:t>
      </w:r>
      <w:r w:rsidRPr="00E12685">
        <w:rPr>
          <w:vertAlign w:val="superscript"/>
        </w:rPr>
        <w:t>2</w:t>
      </w:r>
      <w:r w:rsidR="00E12685">
        <w:t xml:space="preserve">  </w:t>
      </w:r>
      <w:r>
        <w:t>Where</w:t>
      </w:r>
      <w:proofErr w:type="gramEnd"/>
      <w:r>
        <w:t xml:space="preserve"> t</w:t>
      </w:r>
      <w:r w:rsidR="00783739">
        <w:t xml:space="preserve">he infection becomes chronic (three </w:t>
      </w:r>
      <w:r>
        <w:t>consecutive positive cultures at least a month apart), TSI can be used to control the infection.</w:t>
      </w:r>
    </w:p>
    <w:p w14:paraId="46E2BB42" w14:textId="4980A1D1" w:rsidR="00DF0B13" w:rsidRDefault="00DF0B13" w:rsidP="00A36FA8">
      <w:pPr>
        <w:pStyle w:val="Heading4"/>
      </w:pPr>
      <w:r w:rsidRPr="002801FD">
        <w:t>PBS listing details</w:t>
      </w:r>
      <w:r w:rsidR="00D151EB" w:rsidRPr="002801FD">
        <w:t xml:space="preserve"> (as at </w:t>
      </w:r>
      <w:r w:rsidR="00C15BDF">
        <w:t>1 August 2014)</w:t>
      </w:r>
    </w:p>
    <w:p w14:paraId="452E4531" w14:textId="513E38FD" w:rsidR="000078B9" w:rsidRPr="00A84764" w:rsidRDefault="000078B9" w:rsidP="000078B9">
      <w:pPr>
        <w:rPr>
          <w:highlight w:val="yellow"/>
        </w:rPr>
      </w:pPr>
      <w:r>
        <w:t>TSI</w:t>
      </w:r>
      <w:r w:rsidRPr="00702DBE">
        <w:t xml:space="preserve"> was list</w:t>
      </w:r>
      <w:r>
        <w:t>ed on the PBS on 1 October 2011 for the m</w:t>
      </w:r>
      <w:r w:rsidRPr="00A84764">
        <w:t xml:space="preserve">anagement of a proven </w:t>
      </w:r>
      <w:r w:rsidRPr="00961195">
        <w:rPr>
          <w:i/>
        </w:rPr>
        <w:t xml:space="preserve">Pseudomonas </w:t>
      </w:r>
      <w:proofErr w:type="spellStart"/>
      <w:r w:rsidRPr="00961195">
        <w:rPr>
          <w:i/>
        </w:rPr>
        <w:t>aeruginosa</w:t>
      </w:r>
      <w:proofErr w:type="spellEnd"/>
      <w:r w:rsidRPr="00A84764">
        <w:t xml:space="preserve"> infection in a patient with cystic fibrosis. Details of the listing are presented in </w:t>
      </w:r>
      <w:r w:rsidRPr="00664BE5">
        <w:t>Table 1</w:t>
      </w:r>
      <w:r w:rsidR="004B2514">
        <w:t>.</w:t>
      </w:r>
    </w:p>
    <w:p w14:paraId="1B2150A7" w14:textId="77777777" w:rsidR="000078B9" w:rsidRPr="001420B3" w:rsidRDefault="000078B9" w:rsidP="000078B9">
      <w:pPr>
        <w:pStyle w:val="Tabletitle"/>
      </w:pPr>
      <w:r w:rsidRPr="001420B3">
        <w:t xml:space="preserve">Table </w:t>
      </w:r>
      <w:r>
        <w:t>1</w:t>
      </w:r>
      <w:r w:rsidRPr="001420B3">
        <w:t xml:space="preserve">: </w:t>
      </w:r>
      <w:r>
        <w:t>PBS listing of TSI</w:t>
      </w:r>
    </w:p>
    <w:tbl>
      <w:tblPr>
        <w:tblStyle w:val="TableGrid"/>
        <w:tblW w:w="9064" w:type="dxa"/>
        <w:tblInd w:w="108" w:type="dxa"/>
        <w:tblLayout w:type="fixed"/>
        <w:tblLook w:val="04A0" w:firstRow="1" w:lastRow="0" w:firstColumn="1" w:lastColumn="0" w:noHBand="0" w:noVBand="1"/>
        <w:tblCaption w:val="Table 1: PBS listing of TSI"/>
        <w:tblDescription w:val="item number, name, form &amp; strength, pack size, maximum quantity, repeats, dispensed price for maximum quantity, brand name and manufacturer."/>
      </w:tblPr>
      <w:tblGrid>
        <w:gridCol w:w="969"/>
        <w:gridCol w:w="2400"/>
        <w:gridCol w:w="1701"/>
        <w:gridCol w:w="850"/>
        <w:gridCol w:w="1040"/>
        <w:gridCol w:w="2104"/>
      </w:tblGrid>
      <w:tr w:rsidR="000078B9" w:rsidRPr="00A35800" w14:paraId="41AE917B" w14:textId="77777777" w:rsidTr="0073116A">
        <w:trPr>
          <w:trHeight w:val="694"/>
          <w:tblHeader/>
        </w:trPr>
        <w:tc>
          <w:tcPr>
            <w:tcW w:w="969" w:type="dxa"/>
            <w:shd w:val="clear" w:color="auto" w:fill="BFBFBF" w:themeFill="background1" w:themeFillShade="BF"/>
          </w:tcPr>
          <w:p w14:paraId="681FE710" w14:textId="77777777" w:rsidR="000078B9" w:rsidRPr="00A35800" w:rsidRDefault="000078B9" w:rsidP="00D4571A">
            <w:pPr>
              <w:pStyle w:val="Tableheading"/>
              <w:rPr>
                <w:sz w:val="20"/>
                <w:szCs w:val="20"/>
              </w:rPr>
            </w:pPr>
            <w:r w:rsidRPr="00A35800">
              <w:rPr>
                <w:sz w:val="20"/>
                <w:szCs w:val="20"/>
              </w:rPr>
              <w:t>Item</w:t>
            </w:r>
          </w:p>
        </w:tc>
        <w:tc>
          <w:tcPr>
            <w:tcW w:w="2400" w:type="dxa"/>
            <w:shd w:val="clear" w:color="auto" w:fill="BFBFBF" w:themeFill="background1" w:themeFillShade="BF"/>
          </w:tcPr>
          <w:p w14:paraId="2AF04D32" w14:textId="77777777" w:rsidR="000078B9" w:rsidRPr="00A35800" w:rsidRDefault="000078B9" w:rsidP="00D4571A">
            <w:pPr>
              <w:pStyle w:val="Tableheading"/>
              <w:rPr>
                <w:sz w:val="20"/>
                <w:szCs w:val="20"/>
              </w:rPr>
            </w:pPr>
            <w:r w:rsidRPr="00A35800">
              <w:rPr>
                <w:sz w:val="20"/>
                <w:szCs w:val="20"/>
              </w:rPr>
              <w:t>Name, form &amp; strength, pack size</w:t>
            </w:r>
          </w:p>
        </w:tc>
        <w:tc>
          <w:tcPr>
            <w:tcW w:w="1701" w:type="dxa"/>
            <w:shd w:val="clear" w:color="auto" w:fill="BFBFBF" w:themeFill="background1" w:themeFillShade="BF"/>
          </w:tcPr>
          <w:p w14:paraId="5FCE3EB8" w14:textId="77777777" w:rsidR="000078B9" w:rsidRPr="00A35800" w:rsidRDefault="000078B9" w:rsidP="00D4571A">
            <w:pPr>
              <w:pStyle w:val="Tableheading"/>
              <w:rPr>
                <w:sz w:val="20"/>
                <w:szCs w:val="20"/>
              </w:rPr>
            </w:pPr>
            <w:r w:rsidRPr="00A35800">
              <w:rPr>
                <w:sz w:val="20"/>
                <w:szCs w:val="20"/>
              </w:rPr>
              <w:t xml:space="preserve">Max. quant. </w:t>
            </w:r>
          </w:p>
        </w:tc>
        <w:tc>
          <w:tcPr>
            <w:tcW w:w="850" w:type="dxa"/>
            <w:shd w:val="clear" w:color="auto" w:fill="BFBFBF" w:themeFill="background1" w:themeFillShade="BF"/>
          </w:tcPr>
          <w:p w14:paraId="06490498" w14:textId="13A5C76F" w:rsidR="000078B9" w:rsidRPr="00A35800" w:rsidRDefault="00432B56" w:rsidP="00D4571A">
            <w:pPr>
              <w:pStyle w:val="Tableheading"/>
              <w:rPr>
                <w:sz w:val="20"/>
                <w:szCs w:val="20"/>
              </w:rPr>
            </w:pPr>
            <w:r>
              <w:rPr>
                <w:sz w:val="20"/>
                <w:szCs w:val="20"/>
              </w:rPr>
              <w:t>Repeats</w:t>
            </w:r>
            <w:r w:rsidR="000078B9" w:rsidRPr="00A35800">
              <w:rPr>
                <w:sz w:val="20"/>
                <w:szCs w:val="20"/>
              </w:rPr>
              <w:t xml:space="preserve"> </w:t>
            </w:r>
          </w:p>
        </w:tc>
        <w:tc>
          <w:tcPr>
            <w:tcW w:w="1040" w:type="dxa"/>
            <w:shd w:val="clear" w:color="auto" w:fill="BFBFBF" w:themeFill="background1" w:themeFillShade="BF"/>
          </w:tcPr>
          <w:p w14:paraId="3A41F656" w14:textId="77777777" w:rsidR="000078B9" w:rsidRPr="00A35800" w:rsidRDefault="000078B9" w:rsidP="00D4571A">
            <w:pPr>
              <w:pStyle w:val="Tableheading"/>
              <w:rPr>
                <w:sz w:val="20"/>
                <w:szCs w:val="20"/>
              </w:rPr>
            </w:pPr>
            <w:r w:rsidRPr="00A35800">
              <w:rPr>
                <w:sz w:val="20"/>
                <w:szCs w:val="20"/>
              </w:rPr>
              <w:t>DPMQ</w:t>
            </w:r>
            <w:r>
              <w:rPr>
                <w:sz w:val="20"/>
                <w:szCs w:val="20"/>
              </w:rPr>
              <w:t>*</w:t>
            </w:r>
          </w:p>
        </w:tc>
        <w:tc>
          <w:tcPr>
            <w:tcW w:w="2104" w:type="dxa"/>
            <w:shd w:val="clear" w:color="auto" w:fill="BFBFBF" w:themeFill="background1" w:themeFillShade="BF"/>
          </w:tcPr>
          <w:p w14:paraId="0F942726" w14:textId="77777777" w:rsidR="000078B9" w:rsidRPr="00A35800" w:rsidRDefault="000078B9" w:rsidP="00D4571A">
            <w:pPr>
              <w:pStyle w:val="Tableheading"/>
              <w:rPr>
                <w:sz w:val="20"/>
                <w:szCs w:val="20"/>
              </w:rPr>
            </w:pPr>
            <w:r w:rsidRPr="00A35800">
              <w:rPr>
                <w:sz w:val="20"/>
                <w:szCs w:val="20"/>
              </w:rPr>
              <w:t>Brand name and manufacturer</w:t>
            </w:r>
          </w:p>
        </w:tc>
      </w:tr>
      <w:tr w:rsidR="000078B9" w:rsidRPr="00A35800" w14:paraId="70B2EEBF" w14:textId="77777777" w:rsidTr="0073116A">
        <w:trPr>
          <w:trHeight w:val="552"/>
          <w:tblHeader/>
        </w:trPr>
        <w:tc>
          <w:tcPr>
            <w:tcW w:w="969" w:type="dxa"/>
            <w:shd w:val="clear" w:color="auto" w:fill="auto"/>
            <w:vAlign w:val="center"/>
          </w:tcPr>
          <w:p w14:paraId="610FE9C2" w14:textId="77777777" w:rsidR="000078B9" w:rsidRPr="00A35800" w:rsidRDefault="000078B9" w:rsidP="00D4571A">
            <w:pPr>
              <w:pStyle w:val="Tablewriting"/>
            </w:pPr>
            <w:r>
              <w:t>5442K</w:t>
            </w:r>
          </w:p>
        </w:tc>
        <w:tc>
          <w:tcPr>
            <w:tcW w:w="2400" w:type="dxa"/>
            <w:shd w:val="clear" w:color="auto" w:fill="auto"/>
            <w:vAlign w:val="center"/>
          </w:tcPr>
          <w:p w14:paraId="3A879BA8" w14:textId="77777777" w:rsidR="000078B9" w:rsidRDefault="000078B9" w:rsidP="00D4571A">
            <w:pPr>
              <w:pStyle w:val="Tablewriting"/>
            </w:pPr>
            <w:r>
              <w:t>TOBRAMYCIN</w:t>
            </w:r>
          </w:p>
          <w:p w14:paraId="7F6B503F" w14:textId="77777777" w:rsidR="000078B9" w:rsidRPr="00A35800" w:rsidRDefault="000078B9" w:rsidP="00D4571A">
            <w:pPr>
              <w:pStyle w:val="Tablewriting"/>
            </w:pPr>
            <w:r>
              <w:t>tobramycin 300 mg/5 mL inhalation: solution, 56 x 5 mL ampoules</w:t>
            </w:r>
          </w:p>
        </w:tc>
        <w:tc>
          <w:tcPr>
            <w:tcW w:w="1701" w:type="dxa"/>
            <w:shd w:val="clear" w:color="auto" w:fill="auto"/>
            <w:vAlign w:val="center"/>
          </w:tcPr>
          <w:p w14:paraId="52F28762" w14:textId="77777777" w:rsidR="000078B9" w:rsidRPr="00A35800" w:rsidRDefault="000078B9" w:rsidP="00D4571A">
            <w:pPr>
              <w:pStyle w:val="Tablewriting"/>
              <w:jc w:val="center"/>
            </w:pPr>
            <w:r>
              <w:t xml:space="preserve">1 pack </w:t>
            </w:r>
            <w:r>
              <w:br/>
              <w:t>(56 ampoules)</w:t>
            </w:r>
          </w:p>
        </w:tc>
        <w:tc>
          <w:tcPr>
            <w:tcW w:w="850" w:type="dxa"/>
            <w:shd w:val="clear" w:color="auto" w:fill="auto"/>
            <w:vAlign w:val="center"/>
          </w:tcPr>
          <w:p w14:paraId="3D40963D" w14:textId="77777777" w:rsidR="000078B9" w:rsidRPr="00A35800" w:rsidRDefault="000078B9" w:rsidP="00D4571A">
            <w:pPr>
              <w:pStyle w:val="Tablewriting"/>
              <w:jc w:val="center"/>
            </w:pPr>
            <w:r>
              <w:t>2</w:t>
            </w:r>
          </w:p>
        </w:tc>
        <w:tc>
          <w:tcPr>
            <w:tcW w:w="1040" w:type="dxa"/>
            <w:shd w:val="clear" w:color="auto" w:fill="auto"/>
            <w:vAlign w:val="center"/>
          </w:tcPr>
          <w:p w14:paraId="71D0819E" w14:textId="77777777" w:rsidR="000078B9" w:rsidRPr="00A35800" w:rsidRDefault="000078B9" w:rsidP="00D4571A">
            <w:pPr>
              <w:pStyle w:val="Tablewriting"/>
            </w:pPr>
            <w:r>
              <w:t>$2137.70</w:t>
            </w:r>
          </w:p>
        </w:tc>
        <w:tc>
          <w:tcPr>
            <w:tcW w:w="2104" w:type="dxa"/>
            <w:shd w:val="clear" w:color="auto" w:fill="auto"/>
            <w:vAlign w:val="center"/>
          </w:tcPr>
          <w:p w14:paraId="670973F8" w14:textId="77777777" w:rsidR="000078B9" w:rsidRPr="00A35800" w:rsidRDefault="000078B9" w:rsidP="00D4571A">
            <w:pPr>
              <w:pStyle w:val="Tablewriting"/>
            </w:pPr>
            <w:r>
              <w:t>Tobi</w:t>
            </w:r>
            <w:r>
              <w:rPr>
                <w:rFonts w:ascii="Calibri" w:hAnsi="Calibri"/>
              </w:rPr>
              <w:t>®</w:t>
            </w:r>
            <w:r>
              <w:t xml:space="preserve"> </w:t>
            </w:r>
            <w:r>
              <w:br/>
            </w:r>
            <w:r w:rsidRPr="00702DBE">
              <w:t>Novartis Pharmaceuticals Australia Pty Limited</w:t>
            </w:r>
          </w:p>
        </w:tc>
      </w:tr>
    </w:tbl>
    <w:p w14:paraId="1B7E06AE" w14:textId="77777777" w:rsidR="000078B9" w:rsidRPr="00A35800" w:rsidRDefault="000078B9" w:rsidP="00E11B83">
      <w:pPr>
        <w:pStyle w:val="Figurecaption"/>
      </w:pPr>
      <w:r w:rsidRPr="00A35800">
        <w:t xml:space="preserve">Source: </w:t>
      </w:r>
      <w:r>
        <w:t>August 2014 PBS Schedule</w:t>
      </w:r>
      <w:r>
        <w:br/>
        <w:t>*Special Pricing Arrangements apply</w:t>
      </w:r>
    </w:p>
    <w:p w14:paraId="4CD30D43" w14:textId="7447B508" w:rsidR="000078B9" w:rsidRDefault="000078B9" w:rsidP="000078B9">
      <w:r w:rsidRPr="002F61CA">
        <w:t>Current PBS listing detai</w:t>
      </w:r>
      <w:r w:rsidR="004B2514">
        <w:t xml:space="preserve">ls are available from the </w:t>
      </w:r>
      <w:hyperlink r:id="rId11" w:history="1">
        <w:r w:rsidR="004B2514" w:rsidRPr="004B2514">
          <w:rPr>
            <w:rStyle w:val="Hyperlink"/>
          </w:rPr>
          <w:t>PBS website</w:t>
        </w:r>
      </w:hyperlink>
      <w:r w:rsidR="004B2514">
        <w:t>.</w:t>
      </w:r>
    </w:p>
    <w:p w14:paraId="383E312E" w14:textId="391486DA" w:rsidR="00736041" w:rsidRPr="006C4620" w:rsidRDefault="00C41246" w:rsidP="00852A4C">
      <w:pPr>
        <w:pStyle w:val="Heading4"/>
      </w:pPr>
      <w:r w:rsidRPr="006C4620">
        <w:t xml:space="preserve">Relevant aspects of </w:t>
      </w:r>
      <w:r w:rsidR="0063021F" w:rsidRPr="006C4620">
        <w:t xml:space="preserve">the PBAC </w:t>
      </w:r>
      <w:r w:rsidR="00736041" w:rsidRPr="006C4620">
        <w:t>consideration</w:t>
      </w:r>
    </w:p>
    <w:p w14:paraId="1401F4B9" w14:textId="3C26EE63" w:rsidR="008D35E8" w:rsidRDefault="00452CFD" w:rsidP="008D35E8">
      <w:r>
        <w:t>At its March 2011 meeting, t</w:t>
      </w:r>
      <w:r w:rsidR="008D35E8">
        <w:t xml:space="preserve">he PBAC recommended the listing of TSI on the PBS with an Authority Required (STREAMLINED) listing for the management of proven </w:t>
      </w:r>
      <w:r w:rsidR="008D35E8" w:rsidRPr="00452CFD">
        <w:rPr>
          <w:i/>
        </w:rPr>
        <w:t xml:space="preserve">P. </w:t>
      </w:r>
      <w:proofErr w:type="spellStart"/>
      <w:r w:rsidR="008D35E8" w:rsidRPr="00452CFD">
        <w:rPr>
          <w:i/>
        </w:rPr>
        <w:t>aeruginosa</w:t>
      </w:r>
      <w:proofErr w:type="spellEnd"/>
      <w:r w:rsidR="008D35E8">
        <w:t xml:space="preserve"> infection in a patient with cystic fibrosis on the basis of acceptable cost effectiveness compared with placebo. Even taking into account areas of uncertainty around continuous versus intermittent therapy and duration of benefit, the PBAC recognised that this was an area of clinical need. Given there is a possibility for tobramycin to be used continuously, rather than one month on/one month off, a risk share arrangement with expenditure thresholds based upon 6.5 prescriptions per patient per year may be necessary to ensure PBS use reflects the treatment paradigm considered for establishing cost effectiveness.</w:t>
      </w:r>
    </w:p>
    <w:p w14:paraId="5DF762E8" w14:textId="645AF7A8" w:rsidR="00F8425C" w:rsidRPr="00F65F0D" w:rsidRDefault="00F8425C" w:rsidP="00F8425C">
      <w:r>
        <w:lastRenderedPageBreak/>
        <w:t xml:space="preserve">For further details refer to </w:t>
      </w:r>
      <w:r w:rsidRPr="00F65F0D">
        <w:t xml:space="preserve">the </w:t>
      </w:r>
      <w:hyperlink r:id="rId12" w:history="1">
        <w:r w:rsidRPr="00F000B7">
          <w:rPr>
            <w:rStyle w:val="Hyperlink"/>
          </w:rPr>
          <w:t>Public Summary Document</w:t>
        </w:r>
      </w:hyperlink>
      <w:r w:rsidR="00F000B7">
        <w:t xml:space="preserve"> </w:t>
      </w:r>
      <w:r>
        <w:t>from the March 2011 PBAC meeting.</w:t>
      </w:r>
    </w:p>
    <w:p w14:paraId="57AADF13" w14:textId="4CBF2F0D" w:rsidR="008D35E8" w:rsidRDefault="008D35E8" w:rsidP="008D35E8">
      <w:r>
        <w:t>The PBAC recommended the listing of tobramycin powder for inhalatio</w:t>
      </w:r>
      <w:r w:rsidR="0065723B">
        <w:t xml:space="preserve">n at the November 2013 meeting.  </w:t>
      </w:r>
      <w:r>
        <w:t xml:space="preserve">The listing was effective from 1 April 2014 and is therefore not included in the current analysis. </w:t>
      </w:r>
    </w:p>
    <w:p w14:paraId="238D6F3F" w14:textId="5BFE3A61" w:rsidR="008D35E8" w:rsidRDefault="0065723B" w:rsidP="008D35E8">
      <w:r>
        <w:t xml:space="preserve">For further details refer to the </w:t>
      </w:r>
      <w:hyperlink r:id="rId13" w:history="1">
        <w:r w:rsidR="008D35E8" w:rsidRPr="0065723B">
          <w:rPr>
            <w:rStyle w:val="Hyperlink"/>
          </w:rPr>
          <w:t>Public Summary Document</w:t>
        </w:r>
      </w:hyperlink>
      <w:r w:rsidR="008D35E8">
        <w:t xml:space="preserve"> from</w:t>
      </w:r>
      <w:r>
        <w:t xml:space="preserve"> the November 2013 PBAC meeting.</w:t>
      </w:r>
    </w:p>
    <w:p w14:paraId="72C2CA24" w14:textId="4A28B89A" w:rsidR="000F2F51" w:rsidRPr="006C4620" w:rsidRDefault="00ED633B" w:rsidP="00C81F99">
      <w:pPr>
        <w:pStyle w:val="Heading4"/>
      </w:pPr>
      <w:r w:rsidRPr="006C4620">
        <w:t>A</w:t>
      </w:r>
      <w:r w:rsidR="000F2F51" w:rsidRPr="006C4620">
        <w:t xml:space="preserve">pproach </w:t>
      </w:r>
      <w:r w:rsidRPr="006C4620">
        <w:t xml:space="preserve">taken to </w:t>
      </w:r>
      <w:r w:rsidR="000F2F51" w:rsidRPr="006C4620">
        <w:t>estimat</w:t>
      </w:r>
      <w:r w:rsidRPr="006C4620">
        <w:t>e</w:t>
      </w:r>
      <w:r w:rsidR="000F2F51" w:rsidRPr="006C4620">
        <w:t xml:space="preserve"> utilisation</w:t>
      </w:r>
    </w:p>
    <w:p w14:paraId="66820908" w14:textId="51F5E8D3" w:rsidR="00A8640D" w:rsidRDefault="00A8640D" w:rsidP="00A8640D">
      <w:pPr>
        <w:pStyle w:val="ListParagraph"/>
        <w:ind w:left="0"/>
      </w:pPr>
      <w:r>
        <w:t>The submission used an epidemiological approach to estimate the eligible patient population.  The submission used t</w:t>
      </w:r>
      <w:r w:rsidRPr="002939AB">
        <w:t xml:space="preserve">he </w:t>
      </w:r>
      <w:r>
        <w:t xml:space="preserve">2008 </w:t>
      </w:r>
      <w:r w:rsidRPr="002939AB">
        <w:t>Australian Cystic Fibrosis Data Registry</w:t>
      </w:r>
      <w:r>
        <w:t xml:space="preserve"> data to estimate prevalence and forecast future prevalence based on the historical trends from the registry data. </w:t>
      </w:r>
      <w:r w:rsidR="00EF37FB">
        <w:t xml:space="preserve"> </w:t>
      </w:r>
      <w:r>
        <w:t xml:space="preserve">The submission assumed the distribution of age would remain constant. </w:t>
      </w:r>
      <w:r w:rsidR="00EF37FB">
        <w:t xml:space="preserve"> </w:t>
      </w:r>
      <w:r>
        <w:t xml:space="preserve">The age-specific prevalence of </w:t>
      </w:r>
      <w:r w:rsidRPr="00664BE5">
        <w:rPr>
          <w:i/>
        </w:rPr>
        <w:t xml:space="preserve">P. </w:t>
      </w:r>
      <w:proofErr w:type="spellStart"/>
      <w:r w:rsidRPr="00664BE5">
        <w:rPr>
          <w:i/>
        </w:rPr>
        <w:t>aeruginosa</w:t>
      </w:r>
      <w:proofErr w:type="spellEnd"/>
      <w:r w:rsidRPr="00A7194A">
        <w:t>-positive cultures for each age-group</w:t>
      </w:r>
      <w:r>
        <w:t xml:space="preserve"> was also obtained from the registry report and this was used to estimate the prevalence of infection by age group. </w:t>
      </w:r>
    </w:p>
    <w:p w14:paraId="25A177F6" w14:textId="5F6F27A5" w:rsidR="00A8640D" w:rsidRDefault="00A8640D" w:rsidP="00A8640D">
      <w:r w:rsidRPr="00C16F7F">
        <w:t>The submission assume</w:t>
      </w:r>
      <w:r>
        <w:t>d</w:t>
      </w:r>
      <w:r w:rsidRPr="00C16F7F">
        <w:t xml:space="preserve"> that patients aged less than 10 years of age have initial </w:t>
      </w:r>
      <w:r w:rsidRPr="00664BE5">
        <w:rPr>
          <w:i/>
        </w:rPr>
        <w:t xml:space="preserve">P. </w:t>
      </w:r>
      <w:proofErr w:type="spellStart"/>
      <w:r w:rsidRPr="00664BE5">
        <w:rPr>
          <w:i/>
        </w:rPr>
        <w:t>aeruginosa</w:t>
      </w:r>
      <w:proofErr w:type="spellEnd"/>
      <w:r w:rsidRPr="00C16F7F">
        <w:t xml:space="preserve"> infection and are treated with an eradication protocol; 50</w:t>
      </w:r>
      <w:r w:rsidR="00EA3C83">
        <w:t xml:space="preserve"> </w:t>
      </w:r>
      <w:r w:rsidRPr="00C16F7F">
        <w:t>% of patients aged 10-14 have initial infection and 50</w:t>
      </w:r>
      <w:r w:rsidR="00EA3C83">
        <w:t xml:space="preserve"> </w:t>
      </w:r>
      <w:r w:rsidRPr="00C16F7F">
        <w:t>% have chronic infection; and patients 15 years and over are assumed to have chronic infection.</w:t>
      </w:r>
      <w:r>
        <w:t xml:space="preserve"> </w:t>
      </w:r>
      <w:r w:rsidR="00CD3184">
        <w:t xml:space="preserve"> </w:t>
      </w:r>
      <w:r>
        <w:t xml:space="preserve">It was estimated patients require </w:t>
      </w:r>
      <w:r w:rsidR="000219F7">
        <w:t>one</w:t>
      </w:r>
      <w:r>
        <w:t xml:space="preserve"> pack for treatment of early infection (</w:t>
      </w:r>
      <w:r w:rsidR="0097718B">
        <w:t>one</w:t>
      </w:r>
      <w:r>
        <w:t xml:space="preserve"> month treatment) and </w:t>
      </w:r>
      <w:r w:rsidR="00BE36FB">
        <w:t>six</w:t>
      </w:r>
      <w:r>
        <w:t xml:space="preserve"> packs per year for chronic infection.  Full compliance was assumed for </w:t>
      </w:r>
      <w:r w:rsidRPr="00C16F7F">
        <w:t xml:space="preserve">early </w:t>
      </w:r>
      <w:r w:rsidRPr="00664BE5">
        <w:rPr>
          <w:i/>
        </w:rPr>
        <w:t xml:space="preserve">P. </w:t>
      </w:r>
      <w:proofErr w:type="spellStart"/>
      <w:r w:rsidRPr="00664BE5">
        <w:rPr>
          <w:i/>
        </w:rPr>
        <w:t>aeruginosa</w:t>
      </w:r>
      <w:proofErr w:type="spellEnd"/>
      <w:r w:rsidRPr="00C81E55">
        <w:t xml:space="preserve"> and</w:t>
      </w:r>
      <w:r>
        <w:t xml:space="preserve"> 7</w:t>
      </w:r>
      <w:r w:rsidRPr="00C16F7F">
        <w:t>0</w:t>
      </w:r>
      <w:r w:rsidR="00EA3C83">
        <w:t xml:space="preserve"> </w:t>
      </w:r>
      <w:r w:rsidRPr="00C16F7F">
        <w:t>% for chronic</w:t>
      </w:r>
      <w:r>
        <w:t xml:space="preserve"> infection. </w:t>
      </w:r>
      <w:r w:rsidR="00326400">
        <w:t xml:space="preserve"> </w:t>
      </w:r>
      <w:r>
        <w:t>The epidemiological method was update</w:t>
      </w:r>
      <w:r w:rsidR="0036675E">
        <w:t xml:space="preserve">d following the recommendation.  </w:t>
      </w:r>
      <w:r>
        <w:t>This estimated a slightly lar</w:t>
      </w:r>
      <w:r w:rsidR="00F000A1">
        <w:t xml:space="preserve">ger number of patients treated.  </w:t>
      </w:r>
      <w:r>
        <w:t xml:space="preserve">These estimates are presented in Table 2. </w:t>
      </w:r>
    </w:p>
    <w:p w14:paraId="3E83DC1A" w14:textId="77777777" w:rsidR="00A8640D" w:rsidRPr="00C16F7F" w:rsidRDefault="00A8640D" w:rsidP="00EF0065">
      <w:pPr>
        <w:pStyle w:val="Tabletitle"/>
      </w:pPr>
      <w:r>
        <w:t>Table 2: Tobramycin estimates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w:tblDescription w:val="Estimates of use including the number of patients, the number of packs and net cost to the PBS for tobramycin."/>
      </w:tblPr>
      <w:tblGrid>
        <w:gridCol w:w="2466"/>
        <w:gridCol w:w="1233"/>
        <w:gridCol w:w="1233"/>
        <w:gridCol w:w="1233"/>
        <w:gridCol w:w="1233"/>
        <w:gridCol w:w="1233"/>
      </w:tblGrid>
      <w:tr w:rsidR="00A8640D" w:rsidRPr="00E857CA" w14:paraId="214FB579" w14:textId="77777777" w:rsidTr="00D4571A">
        <w:tc>
          <w:tcPr>
            <w:tcW w:w="0" w:type="auto"/>
            <w:shd w:val="clear" w:color="auto" w:fill="BFBFBF" w:themeFill="background1" w:themeFillShade="BF"/>
            <w:vAlign w:val="center"/>
          </w:tcPr>
          <w:p w14:paraId="639FB313" w14:textId="77777777" w:rsidR="00A8640D" w:rsidRPr="00E857CA" w:rsidRDefault="00A8640D" w:rsidP="00D4571A">
            <w:pPr>
              <w:widowControl w:val="0"/>
              <w:spacing w:after="0"/>
              <w:rPr>
                <w:rFonts w:eastAsia="Times New Roman" w:cs="Arial"/>
                <w:b/>
                <w:snapToGrid w:val="0"/>
                <w:sz w:val="20"/>
                <w:szCs w:val="20"/>
                <w:lang w:eastAsia="en-US"/>
              </w:rPr>
            </w:pPr>
          </w:p>
        </w:tc>
        <w:tc>
          <w:tcPr>
            <w:tcW w:w="0" w:type="auto"/>
            <w:shd w:val="clear" w:color="auto" w:fill="BFBFBF" w:themeFill="background1" w:themeFillShade="BF"/>
            <w:vAlign w:val="center"/>
          </w:tcPr>
          <w:p w14:paraId="00A5D3BF" w14:textId="77777777" w:rsidR="00A8640D" w:rsidRPr="00E857CA" w:rsidRDefault="00A8640D" w:rsidP="00D4571A">
            <w:pPr>
              <w:widowControl w:val="0"/>
              <w:spacing w:after="0"/>
              <w:jc w:val="center"/>
              <w:rPr>
                <w:rFonts w:eastAsia="Times New Roman" w:cs="Arial"/>
                <w:b/>
                <w:bCs/>
                <w:snapToGrid w:val="0"/>
                <w:sz w:val="20"/>
                <w:szCs w:val="20"/>
                <w:lang w:eastAsia="en-US"/>
              </w:rPr>
            </w:pPr>
            <w:r w:rsidRPr="00E857CA">
              <w:rPr>
                <w:rFonts w:eastAsia="Times New Roman" w:cs="Arial"/>
                <w:b/>
                <w:bCs/>
                <w:snapToGrid w:val="0"/>
                <w:sz w:val="20"/>
                <w:szCs w:val="20"/>
                <w:lang w:eastAsia="en-US"/>
              </w:rPr>
              <w:t>Year 1</w:t>
            </w:r>
          </w:p>
        </w:tc>
        <w:tc>
          <w:tcPr>
            <w:tcW w:w="0" w:type="auto"/>
            <w:shd w:val="clear" w:color="auto" w:fill="BFBFBF" w:themeFill="background1" w:themeFillShade="BF"/>
            <w:vAlign w:val="center"/>
          </w:tcPr>
          <w:p w14:paraId="74B8F2D1" w14:textId="77777777" w:rsidR="00A8640D" w:rsidRPr="00E857CA" w:rsidRDefault="00A8640D" w:rsidP="00D4571A">
            <w:pPr>
              <w:widowControl w:val="0"/>
              <w:spacing w:after="0"/>
              <w:jc w:val="center"/>
              <w:rPr>
                <w:rFonts w:eastAsia="Times New Roman" w:cs="Arial"/>
                <w:b/>
                <w:bCs/>
                <w:snapToGrid w:val="0"/>
                <w:sz w:val="20"/>
                <w:szCs w:val="20"/>
                <w:lang w:eastAsia="en-US"/>
              </w:rPr>
            </w:pPr>
            <w:r w:rsidRPr="00E857CA">
              <w:rPr>
                <w:rFonts w:eastAsia="Times New Roman" w:cs="Arial"/>
                <w:b/>
                <w:bCs/>
                <w:snapToGrid w:val="0"/>
                <w:sz w:val="20"/>
                <w:szCs w:val="20"/>
                <w:lang w:eastAsia="en-US"/>
              </w:rPr>
              <w:t>Year 2</w:t>
            </w:r>
          </w:p>
        </w:tc>
        <w:tc>
          <w:tcPr>
            <w:tcW w:w="0" w:type="auto"/>
            <w:shd w:val="clear" w:color="auto" w:fill="BFBFBF" w:themeFill="background1" w:themeFillShade="BF"/>
            <w:vAlign w:val="center"/>
          </w:tcPr>
          <w:p w14:paraId="7648311D" w14:textId="77777777" w:rsidR="00A8640D" w:rsidRPr="00E857CA" w:rsidRDefault="00A8640D" w:rsidP="00D4571A">
            <w:pPr>
              <w:widowControl w:val="0"/>
              <w:spacing w:after="0"/>
              <w:jc w:val="center"/>
              <w:rPr>
                <w:rFonts w:eastAsia="Times New Roman" w:cs="Arial"/>
                <w:b/>
                <w:bCs/>
                <w:snapToGrid w:val="0"/>
                <w:sz w:val="20"/>
                <w:szCs w:val="20"/>
                <w:lang w:eastAsia="en-US"/>
              </w:rPr>
            </w:pPr>
            <w:r w:rsidRPr="00E857CA">
              <w:rPr>
                <w:rFonts w:eastAsia="Times New Roman" w:cs="Arial"/>
                <w:b/>
                <w:bCs/>
                <w:snapToGrid w:val="0"/>
                <w:sz w:val="20"/>
                <w:szCs w:val="20"/>
                <w:lang w:eastAsia="en-US"/>
              </w:rPr>
              <w:t>Year 3</w:t>
            </w:r>
          </w:p>
        </w:tc>
        <w:tc>
          <w:tcPr>
            <w:tcW w:w="0" w:type="auto"/>
            <w:shd w:val="clear" w:color="auto" w:fill="BFBFBF" w:themeFill="background1" w:themeFillShade="BF"/>
            <w:vAlign w:val="center"/>
          </w:tcPr>
          <w:p w14:paraId="4A910E36" w14:textId="77777777" w:rsidR="00A8640D" w:rsidRPr="00E857CA" w:rsidRDefault="00A8640D" w:rsidP="00D4571A">
            <w:pPr>
              <w:widowControl w:val="0"/>
              <w:spacing w:after="0"/>
              <w:jc w:val="center"/>
              <w:rPr>
                <w:rFonts w:eastAsia="Times New Roman" w:cs="Arial"/>
                <w:b/>
                <w:bCs/>
                <w:snapToGrid w:val="0"/>
                <w:sz w:val="20"/>
                <w:szCs w:val="20"/>
                <w:lang w:eastAsia="en-US"/>
              </w:rPr>
            </w:pPr>
            <w:r w:rsidRPr="00E857CA">
              <w:rPr>
                <w:rFonts w:eastAsia="Times New Roman" w:cs="Arial"/>
                <w:b/>
                <w:bCs/>
                <w:snapToGrid w:val="0"/>
                <w:sz w:val="20"/>
                <w:szCs w:val="20"/>
                <w:lang w:eastAsia="en-US"/>
              </w:rPr>
              <w:t>Year 4</w:t>
            </w:r>
          </w:p>
        </w:tc>
        <w:tc>
          <w:tcPr>
            <w:tcW w:w="0" w:type="auto"/>
            <w:shd w:val="clear" w:color="auto" w:fill="BFBFBF" w:themeFill="background1" w:themeFillShade="BF"/>
            <w:vAlign w:val="center"/>
          </w:tcPr>
          <w:p w14:paraId="39DAFE04" w14:textId="77777777" w:rsidR="00A8640D" w:rsidRPr="00E857CA" w:rsidRDefault="00A8640D" w:rsidP="00D4571A">
            <w:pPr>
              <w:widowControl w:val="0"/>
              <w:spacing w:after="0"/>
              <w:jc w:val="center"/>
              <w:rPr>
                <w:rFonts w:eastAsia="Times New Roman" w:cs="Arial"/>
                <w:b/>
                <w:bCs/>
                <w:snapToGrid w:val="0"/>
                <w:sz w:val="20"/>
                <w:szCs w:val="20"/>
                <w:lang w:eastAsia="en-US"/>
              </w:rPr>
            </w:pPr>
            <w:r w:rsidRPr="00E857CA">
              <w:rPr>
                <w:rFonts w:eastAsia="Times New Roman" w:cs="Arial"/>
                <w:b/>
                <w:bCs/>
                <w:snapToGrid w:val="0"/>
                <w:sz w:val="20"/>
                <w:szCs w:val="20"/>
                <w:lang w:eastAsia="en-US"/>
              </w:rPr>
              <w:t>Year 5</w:t>
            </w:r>
          </w:p>
        </w:tc>
      </w:tr>
      <w:tr w:rsidR="00A8640D" w:rsidRPr="00E857CA" w14:paraId="17274F57" w14:textId="77777777" w:rsidTr="00D4571A">
        <w:tc>
          <w:tcPr>
            <w:tcW w:w="0" w:type="auto"/>
            <w:gridSpan w:val="6"/>
            <w:shd w:val="clear" w:color="auto" w:fill="auto"/>
            <w:vAlign w:val="center"/>
          </w:tcPr>
          <w:p w14:paraId="09F1AA84" w14:textId="77777777" w:rsidR="00A8640D" w:rsidRPr="00E857CA" w:rsidRDefault="00A8640D" w:rsidP="00D4571A">
            <w:pPr>
              <w:widowControl w:val="0"/>
              <w:spacing w:after="0"/>
              <w:rPr>
                <w:rFonts w:eastAsia="Times New Roman" w:cs="Arial"/>
                <w:i/>
                <w:snapToGrid w:val="0"/>
                <w:sz w:val="20"/>
                <w:szCs w:val="20"/>
                <w:lang w:eastAsia="en-US"/>
              </w:rPr>
            </w:pPr>
            <w:r w:rsidRPr="00E857CA">
              <w:rPr>
                <w:rFonts w:eastAsia="Times New Roman" w:cs="Arial"/>
                <w:i/>
                <w:snapToGrid w:val="0"/>
                <w:sz w:val="20"/>
                <w:szCs w:val="20"/>
                <w:lang w:eastAsia="en-US"/>
              </w:rPr>
              <w:t>Eradication of early infection</w:t>
            </w:r>
          </w:p>
        </w:tc>
      </w:tr>
      <w:tr w:rsidR="00235473" w:rsidRPr="00E857CA" w14:paraId="480BEA41" w14:textId="77777777" w:rsidTr="00D4571A">
        <w:tc>
          <w:tcPr>
            <w:tcW w:w="0" w:type="auto"/>
            <w:shd w:val="clear" w:color="auto" w:fill="auto"/>
            <w:vAlign w:val="center"/>
          </w:tcPr>
          <w:p w14:paraId="5A1B77B9" w14:textId="77777777" w:rsidR="00235473" w:rsidRPr="00E857CA" w:rsidRDefault="00235473" w:rsidP="00D4571A">
            <w:pPr>
              <w:widowControl w:val="0"/>
              <w:spacing w:after="0"/>
              <w:ind w:left="142" w:hanging="142"/>
              <w:rPr>
                <w:rFonts w:eastAsia="Times New Roman" w:cs="Arial"/>
                <w:snapToGrid w:val="0"/>
                <w:sz w:val="20"/>
                <w:szCs w:val="20"/>
                <w:lang w:eastAsia="en-US"/>
              </w:rPr>
            </w:pPr>
            <w:r w:rsidRPr="00E857CA">
              <w:rPr>
                <w:rFonts w:eastAsia="Times New Roman" w:cs="Arial"/>
                <w:snapToGrid w:val="0"/>
                <w:sz w:val="20"/>
                <w:szCs w:val="20"/>
                <w:lang w:eastAsia="en-US"/>
              </w:rPr>
              <w:t xml:space="preserve">Eligible patients </w:t>
            </w:r>
          </w:p>
        </w:tc>
        <w:tc>
          <w:tcPr>
            <w:tcW w:w="0" w:type="auto"/>
            <w:shd w:val="clear" w:color="auto" w:fill="auto"/>
          </w:tcPr>
          <w:p w14:paraId="6ACCDA1B" w14:textId="33B91714" w:rsidR="00235473" w:rsidRPr="00E857CA" w:rsidRDefault="00235473" w:rsidP="00D4571A">
            <w:pPr>
              <w:widowControl w:val="0"/>
              <w:spacing w:after="0"/>
              <w:jc w:val="center"/>
              <w:rPr>
                <w:rFonts w:eastAsia="Times New Roman" w:cs="Arial"/>
                <w:snapToGrid w:val="0"/>
                <w:sz w:val="20"/>
                <w:szCs w:val="20"/>
                <w:lang w:eastAsia="en-US"/>
              </w:rPr>
            </w:pPr>
            <w:r>
              <w:rPr>
                <w:rFonts w:eastAsia="Times New Roman" w:cs="Arial"/>
                <w:snapToGrid w:val="0"/>
                <w:sz w:val="20"/>
                <w:szCs w:val="20"/>
                <w:lang w:eastAsia="en-US"/>
              </w:rPr>
              <w:t>REDACTED</w:t>
            </w:r>
          </w:p>
        </w:tc>
        <w:tc>
          <w:tcPr>
            <w:tcW w:w="0" w:type="auto"/>
            <w:shd w:val="clear" w:color="auto" w:fill="auto"/>
          </w:tcPr>
          <w:p w14:paraId="4FD83F36" w14:textId="50C9808B" w:rsidR="00235473" w:rsidRPr="00E857CA" w:rsidRDefault="00235473" w:rsidP="00D4571A">
            <w:pPr>
              <w:widowControl w:val="0"/>
              <w:spacing w:after="0"/>
              <w:jc w:val="center"/>
              <w:rPr>
                <w:rFonts w:eastAsia="Times New Roman" w:cs="Arial"/>
                <w:snapToGrid w:val="0"/>
                <w:sz w:val="20"/>
                <w:szCs w:val="20"/>
                <w:lang w:eastAsia="en-US"/>
              </w:rPr>
            </w:pPr>
            <w:r>
              <w:rPr>
                <w:rFonts w:eastAsia="Times New Roman" w:cs="Arial"/>
                <w:snapToGrid w:val="0"/>
                <w:sz w:val="20"/>
                <w:szCs w:val="20"/>
                <w:lang w:eastAsia="en-US"/>
              </w:rPr>
              <w:t>REDACTED</w:t>
            </w:r>
          </w:p>
        </w:tc>
        <w:tc>
          <w:tcPr>
            <w:tcW w:w="0" w:type="auto"/>
            <w:shd w:val="clear" w:color="auto" w:fill="auto"/>
          </w:tcPr>
          <w:p w14:paraId="35FDC8C5" w14:textId="30A2B7D3" w:rsidR="00235473" w:rsidRPr="00E857CA" w:rsidRDefault="00235473" w:rsidP="00D4571A">
            <w:pPr>
              <w:widowControl w:val="0"/>
              <w:spacing w:after="0"/>
              <w:jc w:val="center"/>
              <w:rPr>
                <w:rFonts w:eastAsia="Times New Roman" w:cs="Arial"/>
                <w:snapToGrid w:val="0"/>
                <w:sz w:val="20"/>
                <w:szCs w:val="20"/>
                <w:lang w:eastAsia="en-US"/>
              </w:rPr>
            </w:pPr>
            <w:r w:rsidRPr="00BA79DC">
              <w:rPr>
                <w:rFonts w:eastAsia="Times New Roman" w:cs="Arial"/>
                <w:snapToGrid w:val="0"/>
                <w:sz w:val="20"/>
                <w:szCs w:val="20"/>
                <w:lang w:eastAsia="en-US"/>
              </w:rPr>
              <w:t>REDACTED</w:t>
            </w:r>
          </w:p>
        </w:tc>
        <w:tc>
          <w:tcPr>
            <w:tcW w:w="0" w:type="auto"/>
            <w:shd w:val="clear" w:color="auto" w:fill="auto"/>
          </w:tcPr>
          <w:p w14:paraId="640BF259" w14:textId="6D72F9EF" w:rsidR="00235473" w:rsidRPr="00E857CA" w:rsidRDefault="00235473" w:rsidP="00D4571A">
            <w:pPr>
              <w:widowControl w:val="0"/>
              <w:spacing w:after="0"/>
              <w:jc w:val="center"/>
              <w:rPr>
                <w:rFonts w:eastAsia="Times New Roman" w:cs="Arial"/>
                <w:snapToGrid w:val="0"/>
                <w:sz w:val="20"/>
                <w:szCs w:val="20"/>
                <w:lang w:eastAsia="en-US"/>
              </w:rPr>
            </w:pPr>
            <w:r w:rsidRPr="00BA79DC">
              <w:rPr>
                <w:rFonts w:eastAsia="Times New Roman" w:cs="Arial"/>
                <w:snapToGrid w:val="0"/>
                <w:sz w:val="20"/>
                <w:szCs w:val="20"/>
                <w:lang w:eastAsia="en-US"/>
              </w:rPr>
              <w:t>REDACTED</w:t>
            </w:r>
          </w:p>
        </w:tc>
        <w:tc>
          <w:tcPr>
            <w:tcW w:w="0" w:type="auto"/>
            <w:shd w:val="clear" w:color="auto" w:fill="auto"/>
          </w:tcPr>
          <w:p w14:paraId="395D36CB" w14:textId="6EEB2F52" w:rsidR="00235473" w:rsidRPr="00E857CA" w:rsidRDefault="00235473" w:rsidP="00D4571A">
            <w:pPr>
              <w:widowControl w:val="0"/>
              <w:spacing w:after="0"/>
              <w:jc w:val="center"/>
              <w:rPr>
                <w:rFonts w:eastAsia="Times New Roman" w:cs="Arial"/>
                <w:snapToGrid w:val="0"/>
                <w:sz w:val="20"/>
                <w:szCs w:val="20"/>
                <w:lang w:eastAsia="en-US"/>
              </w:rPr>
            </w:pPr>
            <w:r w:rsidRPr="00BA79DC">
              <w:rPr>
                <w:rFonts w:eastAsia="Times New Roman" w:cs="Arial"/>
                <w:snapToGrid w:val="0"/>
                <w:sz w:val="20"/>
                <w:szCs w:val="20"/>
                <w:lang w:eastAsia="en-US"/>
              </w:rPr>
              <w:t>REDACTED</w:t>
            </w:r>
          </w:p>
        </w:tc>
      </w:tr>
      <w:tr w:rsidR="00235473" w:rsidRPr="00E857CA" w14:paraId="579840DE" w14:textId="77777777" w:rsidTr="00D4571A">
        <w:tc>
          <w:tcPr>
            <w:tcW w:w="0" w:type="auto"/>
            <w:shd w:val="clear" w:color="auto" w:fill="auto"/>
            <w:vAlign w:val="center"/>
          </w:tcPr>
          <w:p w14:paraId="0C2697A8" w14:textId="77777777" w:rsidR="00235473" w:rsidRPr="00E857CA" w:rsidRDefault="00235473" w:rsidP="00D4571A">
            <w:pPr>
              <w:widowControl w:val="0"/>
              <w:spacing w:after="0"/>
              <w:ind w:left="142" w:hanging="142"/>
              <w:rPr>
                <w:rFonts w:eastAsia="Times New Roman" w:cs="Arial"/>
                <w:snapToGrid w:val="0"/>
                <w:sz w:val="20"/>
                <w:szCs w:val="20"/>
                <w:lang w:eastAsia="en-US"/>
              </w:rPr>
            </w:pPr>
            <w:r w:rsidRPr="00E857CA">
              <w:rPr>
                <w:rFonts w:eastAsia="Times New Roman" w:cs="Arial"/>
                <w:snapToGrid w:val="0"/>
                <w:sz w:val="20"/>
                <w:szCs w:val="20"/>
                <w:lang w:eastAsia="en-US"/>
              </w:rPr>
              <w:t>Treated patients</w:t>
            </w:r>
          </w:p>
        </w:tc>
        <w:tc>
          <w:tcPr>
            <w:tcW w:w="0" w:type="auto"/>
            <w:shd w:val="clear" w:color="auto" w:fill="auto"/>
          </w:tcPr>
          <w:p w14:paraId="3F94CBEB" w14:textId="53A9F162" w:rsidR="00235473" w:rsidRPr="00E857CA" w:rsidRDefault="00235473" w:rsidP="00D4571A">
            <w:pPr>
              <w:widowControl w:val="0"/>
              <w:spacing w:after="0"/>
              <w:jc w:val="center"/>
              <w:rPr>
                <w:rFonts w:eastAsia="Times New Roman" w:cs="Arial"/>
                <w:snapToGrid w:val="0"/>
                <w:sz w:val="20"/>
                <w:szCs w:val="20"/>
                <w:lang w:eastAsia="en-US"/>
              </w:rPr>
            </w:pPr>
            <w:r w:rsidRPr="00EF59DC">
              <w:rPr>
                <w:rFonts w:eastAsia="Times New Roman" w:cs="Arial"/>
                <w:snapToGrid w:val="0"/>
                <w:sz w:val="20"/>
                <w:szCs w:val="20"/>
                <w:lang w:eastAsia="en-US"/>
              </w:rPr>
              <w:t>REDACTED</w:t>
            </w:r>
          </w:p>
        </w:tc>
        <w:tc>
          <w:tcPr>
            <w:tcW w:w="0" w:type="auto"/>
            <w:shd w:val="clear" w:color="auto" w:fill="auto"/>
          </w:tcPr>
          <w:p w14:paraId="4A5FBF93" w14:textId="02D80752" w:rsidR="00235473" w:rsidRPr="00E857CA" w:rsidRDefault="00235473" w:rsidP="00D4571A">
            <w:pPr>
              <w:widowControl w:val="0"/>
              <w:spacing w:after="0"/>
              <w:jc w:val="center"/>
              <w:rPr>
                <w:rFonts w:eastAsia="Times New Roman" w:cs="Arial"/>
                <w:snapToGrid w:val="0"/>
                <w:sz w:val="20"/>
                <w:szCs w:val="20"/>
                <w:lang w:eastAsia="en-US"/>
              </w:rPr>
            </w:pPr>
            <w:r w:rsidRPr="00EF59DC">
              <w:rPr>
                <w:rFonts w:eastAsia="Times New Roman" w:cs="Arial"/>
                <w:snapToGrid w:val="0"/>
                <w:sz w:val="20"/>
                <w:szCs w:val="20"/>
                <w:lang w:eastAsia="en-US"/>
              </w:rPr>
              <w:t>REDACTED</w:t>
            </w:r>
          </w:p>
        </w:tc>
        <w:tc>
          <w:tcPr>
            <w:tcW w:w="0" w:type="auto"/>
            <w:shd w:val="clear" w:color="auto" w:fill="auto"/>
          </w:tcPr>
          <w:p w14:paraId="56455600" w14:textId="17E3A883" w:rsidR="00235473" w:rsidRPr="00E857CA" w:rsidRDefault="00235473" w:rsidP="00D4571A">
            <w:pPr>
              <w:widowControl w:val="0"/>
              <w:spacing w:after="0"/>
              <w:jc w:val="center"/>
              <w:rPr>
                <w:rFonts w:eastAsia="Times New Roman" w:cs="Arial"/>
                <w:snapToGrid w:val="0"/>
                <w:sz w:val="20"/>
                <w:szCs w:val="20"/>
                <w:lang w:eastAsia="en-US"/>
              </w:rPr>
            </w:pPr>
            <w:r w:rsidRPr="00EF59DC">
              <w:rPr>
                <w:rFonts w:eastAsia="Times New Roman" w:cs="Arial"/>
                <w:snapToGrid w:val="0"/>
                <w:sz w:val="20"/>
                <w:szCs w:val="20"/>
                <w:lang w:eastAsia="en-US"/>
              </w:rPr>
              <w:t>REDACTED</w:t>
            </w:r>
          </w:p>
        </w:tc>
        <w:tc>
          <w:tcPr>
            <w:tcW w:w="0" w:type="auto"/>
            <w:shd w:val="clear" w:color="auto" w:fill="auto"/>
          </w:tcPr>
          <w:p w14:paraId="3D01118C" w14:textId="72BF7DFA" w:rsidR="00235473" w:rsidRPr="00E857CA" w:rsidRDefault="00235473" w:rsidP="00D4571A">
            <w:pPr>
              <w:widowControl w:val="0"/>
              <w:spacing w:after="0"/>
              <w:jc w:val="center"/>
              <w:rPr>
                <w:rFonts w:eastAsia="Times New Roman" w:cs="Arial"/>
                <w:snapToGrid w:val="0"/>
                <w:sz w:val="20"/>
                <w:szCs w:val="20"/>
                <w:lang w:eastAsia="en-US"/>
              </w:rPr>
            </w:pPr>
            <w:r w:rsidRPr="00EF59DC">
              <w:rPr>
                <w:rFonts w:eastAsia="Times New Roman" w:cs="Arial"/>
                <w:snapToGrid w:val="0"/>
                <w:sz w:val="20"/>
                <w:szCs w:val="20"/>
                <w:lang w:eastAsia="en-US"/>
              </w:rPr>
              <w:t>REDACTED</w:t>
            </w:r>
          </w:p>
        </w:tc>
        <w:tc>
          <w:tcPr>
            <w:tcW w:w="0" w:type="auto"/>
            <w:shd w:val="clear" w:color="auto" w:fill="auto"/>
          </w:tcPr>
          <w:p w14:paraId="6D0AEFA3" w14:textId="34EE5515" w:rsidR="00235473" w:rsidRPr="00E857CA" w:rsidRDefault="00235473" w:rsidP="00D4571A">
            <w:pPr>
              <w:widowControl w:val="0"/>
              <w:spacing w:after="0"/>
              <w:jc w:val="center"/>
              <w:rPr>
                <w:rFonts w:eastAsia="Times New Roman" w:cs="Arial"/>
                <w:snapToGrid w:val="0"/>
                <w:sz w:val="20"/>
                <w:szCs w:val="20"/>
                <w:lang w:eastAsia="en-US"/>
              </w:rPr>
            </w:pPr>
            <w:r w:rsidRPr="00EF59DC">
              <w:rPr>
                <w:rFonts w:eastAsia="Times New Roman" w:cs="Arial"/>
                <w:snapToGrid w:val="0"/>
                <w:sz w:val="20"/>
                <w:szCs w:val="20"/>
                <w:lang w:eastAsia="en-US"/>
              </w:rPr>
              <w:t>REDACTED</w:t>
            </w:r>
          </w:p>
        </w:tc>
      </w:tr>
      <w:tr w:rsidR="00235473" w:rsidRPr="00E857CA" w14:paraId="1B4148E1" w14:textId="77777777" w:rsidTr="00D4571A">
        <w:tc>
          <w:tcPr>
            <w:tcW w:w="0" w:type="auto"/>
            <w:shd w:val="clear" w:color="auto" w:fill="auto"/>
            <w:vAlign w:val="center"/>
          </w:tcPr>
          <w:p w14:paraId="06FD59D9" w14:textId="77777777" w:rsidR="00235473" w:rsidRPr="00E857CA" w:rsidRDefault="00235473" w:rsidP="00D4571A">
            <w:pPr>
              <w:widowControl w:val="0"/>
              <w:spacing w:after="0"/>
              <w:ind w:left="142" w:hanging="142"/>
              <w:rPr>
                <w:rFonts w:eastAsia="Times New Roman" w:cs="Arial"/>
                <w:snapToGrid w:val="0"/>
                <w:sz w:val="20"/>
                <w:szCs w:val="20"/>
                <w:lang w:eastAsia="en-US"/>
              </w:rPr>
            </w:pPr>
            <w:r w:rsidRPr="00E857CA">
              <w:rPr>
                <w:rFonts w:eastAsia="Times New Roman" w:cs="Arial"/>
                <w:snapToGrid w:val="0"/>
                <w:sz w:val="20"/>
                <w:szCs w:val="20"/>
                <w:lang w:eastAsia="en-US"/>
              </w:rPr>
              <w:t>Number of packs of TSI</w:t>
            </w:r>
          </w:p>
        </w:tc>
        <w:tc>
          <w:tcPr>
            <w:tcW w:w="0" w:type="auto"/>
            <w:shd w:val="clear" w:color="auto" w:fill="auto"/>
          </w:tcPr>
          <w:p w14:paraId="406C7B1A" w14:textId="399E2401" w:rsidR="00235473" w:rsidRPr="00E857CA" w:rsidRDefault="00235473" w:rsidP="00D4571A">
            <w:pPr>
              <w:widowControl w:val="0"/>
              <w:spacing w:after="0"/>
              <w:jc w:val="center"/>
              <w:rPr>
                <w:rFonts w:eastAsia="Times New Roman" w:cs="Arial"/>
                <w:snapToGrid w:val="0"/>
                <w:sz w:val="20"/>
                <w:szCs w:val="20"/>
                <w:lang w:eastAsia="en-US"/>
              </w:rPr>
            </w:pPr>
            <w:r w:rsidRPr="00EF59DC">
              <w:rPr>
                <w:rFonts w:eastAsia="Times New Roman" w:cs="Arial"/>
                <w:snapToGrid w:val="0"/>
                <w:sz w:val="20"/>
                <w:szCs w:val="20"/>
                <w:lang w:eastAsia="en-US"/>
              </w:rPr>
              <w:t>REDACTED</w:t>
            </w:r>
          </w:p>
        </w:tc>
        <w:tc>
          <w:tcPr>
            <w:tcW w:w="0" w:type="auto"/>
            <w:shd w:val="clear" w:color="auto" w:fill="auto"/>
          </w:tcPr>
          <w:p w14:paraId="1CBB60CD" w14:textId="349D76CF" w:rsidR="00235473" w:rsidRPr="00E857CA" w:rsidRDefault="00235473" w:rsidP="00D4571A">
            <w:pPr>
              <w:widowControl w:val="0"/>
              <w:spacing w:after="0"/>
              <w:jc w:val="center"/>
              <w:rPr>
                <w:rFonts w:eastAsia="Times New Roman" w:cs="Arial"/>
                <w:snapToGrid w:val="0"/>
                <w:sz w:val="20"/>
                <w:szCs w:val="20"/>
                <w:lang w:eastAsia="en-US"/>
              </w:rPr>
            </w:pPr>
            <w:r w:rsidRPr="00EF59DC">
              <w:rPr>
                <w:rFonts w:eastAsia="Times New Roman" w:cs="Arial"/>
                <w:snapToGrid w:val="0"/>
                <w:sz w:val="20"/>
                <w:szCs w:val="20"/>
                <w:lang w:eastAsia="en-US"/>
              </w:rPr>
              <w:t>REDACTED</w:t>
            </w:r>
          </w:p>
        </w:tc>
        <w:tc>
          <w:tcPr>
            <w:tcW w:w="0" w:type="auto"/>
            <w:shd w:val="clear" w:color="auto" w:fill="auto"/>
          </w:tcPr>
          <w:p w14:paraId="5B7D4F78" w14:textId="13C474BF" w:rsidR="00235473" w:rsidRPr="00E857CA" w:rsidRDefault="00235473" w:rsidP="00D4571A">
            <w:pPr>
              <w:widowControl w:val="0"/>
              <w:spacing w:after="0"/>
              <w:jc w:val="center"/>
              <w:rPr>
                <w:rFonts w:eastAsia="Times New Roman" w:cs="Arial"/>
                <w:snapToGrid w:val="0"/>
                <w:sz w:val="20"/>
                <w:szCs w:val="20"/>
                <w:lang w:eastAsia="en-US"/>
              </w:rPr>
            </w:pPr>
            <w:r w:rsidRPr="00EF59DC">
              <w:rPr>
                <w:rFonts w:eastAsia="Times New Roman" w:cs="Arial"/>
                <w:snapToGrid w:val="0"/>
                <w:sz w:val="20"/>
                <w:szCs w:val="20"/>
                <w:lang w:eastAsia="en-US"/>
              </w:rPr>
              <w:t>REDACTED</w:t>
            </w:r>
          </w:p>
        </w:tc>
        <w:tc>
          <w:tcPr>
            <w:tcW w:w="0" w:type="auto"/>
            <w:shd w:val="clear" w:color="auto" w:fill="auto"/>
          </w:tcPr>
          <w:p w14:paraId="715E94DE" w14:textId="3750E1AC" w:rsidR="00235473" w:rsidRPr="00E857CA" w:rsidRDefault="00235473" w:rsidP="00D4571A">
            <w:pPr>
              <w:widowControl w:val="0"/>
              <w:spacing w:after="0"/>
              <w:jc w:val="center"/>
              <w:rPr>
                <w:rFonts w:eastAsia="Times New Roman" w:cs="Arial"/>
                <w:snapToGrid w:val="0"/>
                <w:sz w:val="20"/>
                <w:szCs w:val="20"/>
                <w:lang w:eastAsia="en-US"/>
              </w:rPr>
            </w:pPr>
            <w:r w:rsidRPr="00EF59DC">
              <w:rPr>
                <w:rFonts w:eastAsia="Times New Roman" w:cs="Arial"/>
                <w:snapToGrid w:val="0"/>
                <w:sz w:val="20"/>
                <w:szCs w:val="20"/>
                <w:lang w:eastAsia="en-US"/>
              </w:rPr>
              <w:t>REDACTED</w:t>
            </w:r>
          </w:p>
        </w:tc>
        <w:tc>
          <w:tcPr>
            <w:tcW w:w="0" w:type="auto"/>
            <w:shd w:val="clear" w:color="auto" w:fill="auto"/>
          </w:tcPr>
          <w:p w14:paraId="54820687" w14:textId="3642D90D" w:rsidR="00235473" w:rsidRPr="00E857CA" w:rsidRDefault="00235473" w:rsidP="00D4571A">
            <w:pPr>
              <w:widowControl w:val="0"/>
              <w:spacing w:after="0"/>
              <w:jc w:val="center"/>
              <w:rPr>
                <w:rFonts w:eastAsia="Times New Roman" w:cs="Arial"/>
                <w:snapToGrid w:val="0"/>
                <w:sz w:val="20"/>
                <w:szCs w:val="20"/>
                <w:lang w:eastAsia="en-US"/>
              </w:rPr>
            </w:pPr>
            <w:r w:rsidRPr="00EF59DC">
              <w:rPr>
                <w:rFonts w:eastAsia="Times New Roman" w:cs="Arial"/>
                <w:snapToGrid w:val="0"/>
                <w:sz w:val="20"/>
                <w:szCs w:val="20"/>
                <w:lang w:eastAsia="en-US"/>
              </w:rPr>
              <w:t>REDACTED</w:t>
            </w:r>
          </w:p>
        </w:tc>
      </w:tr>
      <w:tr w:rsidR="00A8640D" w:rsidRPr="00E857CA" w14:paraId="31120193" w14:textId="77777777" w:rsidTr="00D4571A">
        <w:tc>
          <w:tcPr>
            <w:tcW w:w="0" w:type="auto"/>
            <w:gridSpan w:val="6"/>
            <w:shd w:val="clear" w:color="auto" w:fill="auto"/>
            <w:vAlign w:val="center"/>
          </w:tcPr>
          <w:p w14:paraId="32959F6E" w14:textId="77777777" w:rsidR="00A8640D" w:rsidRPr="00E857CA" w:rsidRDefault="00A8640D" w:rsidP="00D4571A">
            <w:pPr>
              <w:widowControl w:val="0"/>
              <w:spacing w:after="0"/>
              <w:rPr>
                <w:rFonts w:eastAsia="Times New Roman" w:cs="Arial"/>
                <w:i/>
                <w:snapToGrid w:val="0"/>
                <w:sz w:val="20"/>
                <w:szCs w:val="20"/>
                <w:lang w:eastAsia="en-US"/>
              </w:rPr>
            </w:pPr>
            <w:r w:rsidRPr="00E857CA">
              <w:rPr>
                <w:rFonts w:eastAsia="Times New Roman" w:cs="Arial"/>
                <w:i/>
                <w:snapToGrid w:val="0"/>
                <w:sz w:val="20"/>
                <w:szCs w:val="20"/>
                <w:lang w:eastAsia="en-US"/>
              </w:rPr>
              <w:t>Management of chronic infection</w:t>
            </w:r>
          </w:p>
        </w:tc>
      </w:tr>
      <w:tr w:rsidR="00235473" w:rsidRPr="00E857CA" w14:paraId="3ADE7CF4" w14:textId="77777777" w:rsidTr="007459BB">
        <w:tc>
          <w:tcPr>
            <w:tcW w:w="0" w:type="auto"/>
            <w:shd w:val="clear" w:color="auto" w:fill="auto"/>
            <w:vAlign w:val="center"/>
          </w:tcPr>
          <w:p w14:paraId="1AD32A3D" w14:textId="77777777" w:rsidR="00235473" w:rsidRPr="00E857CA" w:rsidRDefault="00235473" w:rsidP="00D4571A">
            <w:pPr>
              <w:widowControl w:val="0"/>
              <w:spacing w:after="0"/>
              <w:ind w:left="142" w:hanging="142"/>
              <w:rPr>
                <w:rFonts w:eastAsia="Times New Roman" w:cs="Arial"/>
                <w:snapToGrid w:val="0"/>
                <w:sz w:val="20"/>
                <w:szCs w:val="20"/>
                <w:lang w:eastAsia="en-US"/>
              </w:rPr>
            </w:pPr>
            <w:r w:rsidRPr="00E857CA">
              <w:rPr>
                <w:rFonts w:eastAsia="Times New Roman" w:cs="Arial"/>
                <w:snapToGrid w:val="0"/>
                <w:sz w:val="20"/>
                <w:szCs w:val="20"/>
                <w:lang w:eastAsia="en-US"/>
              </w:rPr>
              <w:t xml:space="preserve">Eligible patients </w:t>
            </w:r>
          </w:p>
        </w:tc>
        <w:tc>
          <w:tcPr>
            <w:tcW w:w="0" w:type="auto"/>
            <w:shd w:val="clear" w:color="auto" w:fill="auto"/>
          </w:tcPr>
          <w:p w14:paraId="320824BA" w14:textId="1F38B00B" w:rsidR="00235473" w:rsidRPr="00E857CA" w:rsidRDefault="00235473" w:rsidP="00D4571A">
            <w:pPr>
              <w:widowControl w:val="0"/>
              <w:spacing w:after="0"/>
              <w:jc w:val="center"/>
              <w:rPr>
                <w:rFonts w:eastAsia="Times New Roman" w:cs="Arial"/>
                <w:snapToGrid w:val="0"/>
                <w:sz w:val="20"/>
                <w:szCs w:val="20"/>
                <w:lang w:eastAsia="en-US"/>
              </w:rPr>
            </w:pPr>
            <w:r w:rsidRPr="003E5009">
              <w:rPr>
                <w:rFonts w:eastAsia="Times New Roman" w:cs="Arial"/>
                <w:snapToGrid w:val="0"/>
                <w:sz w:val="20"/>
                <w:szCs w:val="20"/>
                <w:lang w:eastAsia="en-US"/>
              </w:rPr>
              <w:t>REDACTED</w:t>
            </w:r>
          </w:p>
        </w:tc>
        <w:tc>
          <w:tcPr>
            <w:tcW w:w="0" w:type="auto"/>
            <w:shd w:val="clear" w:color="auto" w:fill="auto"/>
          </w:tcPr>
          <w:p w14:paraId="7D75C0BE" w14:textId="10917BBF" w:rsidR="00235473" w:rsidRPr="00E857CA" w:rsidRDefault="00235473" w:rsidP="00D4571A">
            <w:pPr>
              <w:widowControl w:val="0"/>
              <w:spacing w:after="0"/>
              <w:jc w:val="center"/>
              <w:rPr>
                <w:rFonts w:eastAsia="Times New Roman" w:cs="Arial"/>
                <w:snapToGrid w:val="0"/>
                <w:sz w:val="20"/>
                <w:szCs w:val="20"/>
                <w:lang w:eastAsia="en-US"/>
              </w:rPr>
            </w:pPr>
            <w:r w:rsidRPr="003E5009">
              <w:rPr>
                <w:rFonts w:eastAsia="Times New Roman" w:cs="Arial"/>
                <w:snapToGrid w:val="0"/>
                <w:sz w:val="20"/>
                <w:szCs w:val="20"/>
                <w:lang w:eastAsia="en-US"/>
              </w:rPr>
              <w:t>REDACTED</w:t>
            </w:r>
          </w:p>
        </w:tc>
        <w:tc>
          <w:tcPr>
            <w:tcW w:w="0" w:type="auto"/>
            <w:shd w:val="clear" w:color="auto" w:fill="auto"/>
          </w:tcPr>
          <w:p w14:paraId="29703CAD" w14:textId="6C77D8A3" w:rsidR="00235473" w:rsidRPr="00E857CA" w:rsidRDefault="00235473" w:rsidP="00D4571A">
            <w:pPr>
              <w:widowControl w:val="0"/>
              <w:spacing w:after="0"/>
              <w:jc w:val="center"/>
              <w:rPr>
                <w:rFonts w:eastAsia="Times New Roman" w:cs="Arial"/>
                <w:snapToGrid w:val="0"/>
                <w:sz w:val="20"/>
                <w:szCs w:val="20"/>
                <w:lang w:eastAsia="en-US"/>
              </w:rPr>
            </w:pPr>
            <w:r w:rsidRPr="003E5009">
              <w:rPr>
                <w:rFonts w:eastAsia="Times New Roman" w:cs="Arial"/>
                <w:snapToGrid w:val="0"/>
                <w:sz w:val="20"/>
                <w:szCs w:val="20"/>
                <w:lang w:eastAsia="en-US"/>
              </w:rPr>
              <w:t>REDACTED</w:t>
            </w:r>
          </w:p>
        </w:tc>
        <w:tc>
          <w:tcPr>
            <w:tcW w:w="0" w:type="auto"/>
            <w:shd w:val="clear" w:color="auto" w:fill="auto"/>
          </w:tcPr>
          <w:p w14:paraId="51D471DE" w14:textId="5715B514" w:rsidR="00235473" w:rsidRPr="00E857CA" w:rsidRDefault="00235473" w:rsidP="00D4571A">
            <w:pPr>
              <w:widowControl w:val="0"/>
              <w:spacing w:after="0"/>
              <w:jc w:val="center"/>
              <w:rPr>
                <w:rFonts w:eastAsia="Times New Roman" w:cs="Arial"/>
                <w:snapToGrid w:val="0"/>
                <w:sz w:val="20"/>
                <w:szCs w:val="20"/>
                <w:lang w:eastAsia="en-US"/>
              </w:rPr>
            </w:pPr>
            <w:r w:rsidRPr="003E5009">
              <w:rPr>
                <w:rFonts w:eastAsia="Times New Roman" w:cs="Arial"/>
                <w:snapToGrid w:val="0"/>
                <w:sz w:val="20"/>
                <w:szCs w:val="20"/>
                <w:lang w:eastAsia="en-US"/>
              </w:rPr>
              <w:t>REDACTED</w:t>
            </w:r>
          </w:p>
        </w:tc>
        <w:tc>
          <w:tcPr>
            <w:tcW w:w="0" w:type="auto"/>
            <w:shd w:val="clear" w:color="auto" w:fill="auto"/>
          </w:tcPr>
          <w:p w14:paraId="5E213441" w14:textId="4B33DF0E" w:rsidR="00235473" w:rsidRPr="00E857CA" w:rsidRDefault="00235473" w:rsidP="00D4571A">
            <w:pPr>
              <w:widowControl w:val="0"/>
              <w:spacing w:after="0"/>
              <w:jc w:val="center"/>
              <w:rPr>
                <w:rFonts w:eastAsia="Times New Roman" w:cs="Arial"/>
                <w:snapToGrid w:val="0"/>
                <w:sz w:val="20"/>
                <w:szCs w:val="20"/>
                <w:lang w:eastAsia="en-US"/>
              </w:rPr>
            </w:pPr>
            <w:r w:rsidRPr="003E5009">
              <w:rPr>
                <w:rFonts w:eastAsia="Times New Roman" w:cs="Arial"/>
                <w:snapToGrid w:val="0"/>
                <w:sz w:val="20"/>
                <w:szCs w:val="20"/>
                <w:lang w:eastAsia="en-US"/>
              </w:rPr>
              <w:t>REDACTED</w:t>
            </w:r>
          </w:p>
        </w:tc>
      </w:tr>
      <w:tr w:rsidR="00235473" w:rsidRPr="00E857CA" w14:paraId="01829C63" w14:textId="77777777" w:rsidTr="007459BB">
        <w:tc>
          <w:tcPr>
            <w:tcW w:w="0" w:type="auto"/>
            <w:shd w:val="clear" w:color="auto" w:fill="auto"/>
            <w:vAlign w:val="center"/>
          </w:tcPr>
          <w:p w14:paraId="046C603B" w14:textId="77777777" w:rsidR="00235473" w:rsidRPr="00E857CA" w:rsidRDefault="00235473" w:rsidP="00D4571A">
            <w:pPr>
              <w:widowControl w:val="0"/>
              <w:spacing w:after="0"/>
              <w:ind w:left="142" w:hanging="142"/>
              <w:rPr>
                <w:rFonts w:eastAsia="Times New Roman" w:cs="Arial"/>
                <w:snapToGrid w:val="0"/>
                <w:sz w:val="20"/>
                <w:szCs w:val="20"/>
                <w:lang w:eastAsia="en-US"/>
              </w:rPr>
            </w:pPr>
            <w:r w:rsidRPr="00E857CA">
              <w:rPr>
                <w:rFonts w:eastAsia="Times New Roman" w:cs="Arial"/>
                <w:snapToGrid w:val="0"/>
                <w:sz w:val="20"/>
                <w:szCs w:val="20"/>
                <w:lang w:eastAsia="en-US"/>
              </w:rPr>
              <w:t>Treated patients</w:t>
            </w:r>
          </w:p>
        </w:tc>
        <w:tc>
          <w:tcPr>
            <w:tcW w:w="0" w:type="auto"/>
            <w:shd w:val="clear" w:color="auto" w:fill="auto"/>
          </w:tcPr>
          <w:p w14:paraId="4CB464C4" w14:textId="5CC651CA" w:rsidR="00235473" w:rsidRPr="00E857CA" w:rsidRDefault="00235473" w:rsidP="00D4571A">
            <w:pPr>
              <w:widowControl w:val="0"/>
              <w:spacing w:after="0"/>
              <w:jc w:val="center"/>
              <w:rPr>
                <w:rFonts w:eastAsia="Times New Roman" w:cs="Arial"/>
                <w:snapToGrid w:val="0"/>
                <w:sz w:val="20"/>
                <w:szCs w:val="20"/>
                <w:lang w:eastAsia="en-US"/>
              </w:rPr>
            </w:pPr>
            <w:r w:rsidRPr="003E5009">
              <w:rPr>
                <w:rFonts w:eastAsia="Times New Roman" w:cs="Arial"/>
                <w:snapToGrid w:val="0"/>
                <w:sz w:val="20"/>
                <w:szCs w:val="20"/>
                <w:lang w:eastAsia="en-US"/>
              </w:rPr>
              <w:t>REDACTED</w:t>
            </w:r>
          </w:p>
        </w:tc>
        <w:tc>
          <w:tcPr>
            <w:tcW w:w="0" w:type="auto"/>
            <w:shd w:val="clear" w:color="auto" w:fill="auto"/>
          </w:tcPr>
          <w:p w14:paraId="3F8A88EC" w14:textId="3844F979" w:rsidR="00235473" w:rsidRPr="00E857CA" w:rsidRDefault="00235473" w:rsidP="00D4571A">
            <w:pPr>
              <w:widowControl w:val="0"/>
              <w:spacing w:after="0"/>
              <w:jc w:val="center"/>
              <w:rPr>
                <w:rFonts w:eastAsia="Times New Roman" w:cs="Arial"/>
                <w:snapToGrid w:val="0"/>
                <w:sz w:val="20"/>
                <w:szCs w:val="20"/>
                <w:lang w:eastAsia="en-US"/>
              </w:rPr>
            </w:pPr>
            <w:r w:rsidRPr="003E5009">
              <w:rPr>
                <w:rFonts w:eastAsia="Times New Roman" w:cs="Arial"/>
                <w:snapToGrid w:val="0"/>
                <w:sz w:val="20"/>
                <w:szCs w:val="20"/>
                <w:lang w:eastAsia="en-US"/>
              </w:rPr>
              <w:t>REDACTED</w:t>
            </w:r>
          </w:p>
        </w:tc>
        <w:tc>
          <w:tcPr>
            <w:tcW w:w="0" w:type="auto"/>
            <w:shd w:val="clear" w:color="auto" w:fill="auto"/>
          </w:tcPr>
          <w:p w14:paraId="40B397C8" w14:textId="4CBED635" w:rsidR="00235473" w:rsidRPr="00E857CA" w:rsidRDefault="00235473" w:rsidP="00D4571A">
            <w:pPr>
              <w:widowControl w:val="0"/>
              <w:spacing w:after="0"/>
              <w:jc w:val="center"/>
              <w:rPr>
                <w:rFonts w:eastAsia="Times New Roman" w:cs="Arial"/>
                <w:snapToGrid w:val="0"/>
                <w:sz w:val="20"/>
                <w:szCs w:val="20"/>
                <w:lang w:eastAsia="en-US"/>
              </w:rPr>
            </w:pPr>
            <w:r w:rsidRPr="003E5009">
              <w:rPr>
                <w:rFonts w:eastAsia="Times New Roman" w:cs="Arial"/>
                <w:snapToGrid w:val="0"/>
                <w:sz w:val="20"/>
                <w:szCs w:val="20"/>
                <w:lang w:eastAsia="en-US"/>
              </w:rPr>
              <w:t>REDACTED</w:t>
            </w:r>
          </w:p>
        </w:tc>
        <w:tc>
          <w:tcPr>
            <w:tcW w:w="0" w:type="auto"/>
            <w:shd w:val="clear" w:color="auto" w:fill="auto"/>
          </w:tcPr>
          <w:p w14:paraId="44D2A986" w14:textId="76D0B586" w:rsidR="00235473" w:rsidRPr="00E857CA" w:rsidRDefault="00235473" w:rsidP="00D4571A">
            <w:pPr>
              <w:widowControl w:val="0"/>
              <w:spacing w:after="0"/>
              <w:jc w:val="center"/>
              <w:rPr>
                <w:rFonts w:eastAsia="Times New Roman" w:cs="Arial"/>
                <w:snapToGrid w:val="0"/>
                <w:sz w:val="20"/>
                <w:szCs w:val="20"/>
                <w:lang w:eastAsia="en-US"/>
              </w:rPr>
            </w:pPr>
            <w:r w:rsidRPr="003E5009">
              <w:rPr>
                <w:rFonts w:eastAsia="Times New Roman" w:cs="Arial"/>
                <w:snapToGrid w:val="0"/>
                <w:sz w:val="20"/>
                <w:szCs w:val="20"/>
                <w:lang w:eastAsia="en-US"/>
              </w:rPr>
              <w:t>REDACTED</w:t>
            </w:r>
          </w:p>
        </w:tc>
        <w:tc>
          <w:tcPr>
            <w:tcW w:w="0" w:type="auto"/>
            <w:shd w:val="clear" w:color="auto" w:fill="auto"/>
          </w:tcPr>
          <w:p w14:paraId="60BE59A9" w14:textId="20010058" w:rsidR="00235473" w:rsidRPr="00E857CA" w:rsidRDefault="00235473" w:rsidP="00D4571A">
            <w:pPr>
              <w:widowControl w:val="0"/>
              <w:spacing w:after="0"/>
              <w:jc w:val="center"/>
              <w:rPr>
                <w:rFonts w:eastAsia="Times New Roman" w:cs="Arial"/>
                <w:snapToGrid w:val="0"/>
                <w:sz w:val="20"/>
                <w:szCs w:val="20"/>
                <w:lang w:eastAsia="en-US"/>
              </w:rPr>
            </w:pPr>
            <w:r w:rsidRPr="003E5009">
              <w:rPr>
                <w:rFonts w:eastAsia="Times New Roman" w:cs="Arial"/>
                <w:snapToGrid w:val="0"/>
                <w:sz w:val="20"/>
                <w:szCs w:val="20"/>
                <w:lang w:eastAsia="en-US"/>
              </w:rPr>
              <w:t>REDACTED</w:t>
            </w:r>
          </w:p>
        </w:tc>
      </w:tr>
      <w:tr w:rsidR="00235473" w:rsidRPr="00E857CA" w14:paraId="7ECB5672" w14:textId="77777777" w:rsidTr="007459BB">
        <w:tc>
          <w:tcPr>
            <w:tcW w:w="0" w:type="auto"/>
            <w:shd w:val="clear" w:color="auto" w:fill="auto"/>
            <w:vAlign w:val="center"/>
          </w:tcPr>
          <w:p w14:paraId="0AB63C56" w14:textId="77777777" w:rsidR="00235473" w:rsidRPr="00E857CA" w:rsidRDefault="00235473" w:rsidP="00D4571A">
            <w:pPr>
              <w:widowControl w:val="0"/>
              <w:spacing w:after="0"/>
              <w:ind w:left="142" w:hanging="142"/>
              <w:rPr>
                <w:rFonts w:eastAsia="Times New Roman" w:cs="Arial"/>
                <w:snapToGrid w:val="0"/>
                <w:sz w:val="20"/>
                <w:szCs w:val="20"/>
                <w:lang w:eastAsia="en-US"/>
              </w:rPr>
            </w:pPr>
            <w:r w:rsidRPr="00E857CA">
              <w:rPr>
                <w:rFonts w:eastAsia="Times New Roman" w:cs="Arial"/>
                <w:snapToGrid w:val="0"/>
                <w:sz w:val="20"/>
                <w:szCs w:val="20"/>
                <w:lang w:eastAsia="en-US"/>
              </w:rPr>
              <w:t>Number of packs of TSI</w:t>
            </w:r>
          </w:p>
        </w:tc>
        <w:tc>
          <w:tcPr>
            <w:tcW w:w="0" w:type="auto"/>
            <w:shd w:val="clear" w:color="auto" w:fill="auto"/>
          </w:tcPr>
          <w:p w14:paraId="0C3575D4" w14:textId="3F3C8A46" w:rsidR="00235473" w:rsidRPr="00E857CA" w:rsidRDefault="00235473" w:rsidP="00D4571A">
            <w:pPr>
              <w:widowControl w:val="0"/>
              <w:spacing w:after="0"/>
              <w:jc w:val="center"/>
              <w:rPr>
                <w:rFonts w:eastAsia="Times New Roman" w:cs="Arial"/>
                <w:bCs/>
                <w:snapToGrid w:val="0"/>
                <w:sz w:val="20"/>
                <w:szCs w:val="20"/>
                <w:lang w:eastAsia="en-US"/>
              </w:rPr>
            </w:pPr>
            <w:r w:rsidRPr="003E5009">
              <w:rPr>
                <w:rFonts w:eastAsia="Times New Roman" w:cs="Arial"/>
                <w:snapToGrid w:val="0"/>
                <w:sz w:val="20"/>
                <w:szCs w:val="20"/>
                <w:lang w:eastAsia="en-US"/>
              </w:rPr>
              <w:t>REDACTED</w:t>
            </w:r>
          </w:p>
        </w:tc>
        <w:tc>
          <w:tcPr>
            <w:tcW w:w="0" w:type="auto"/>
            <w:shd w:val="clear" w:color="auto" w:fill="auto"/>
          </w:tcPr>
          <w:p w14:paraId="79F60909" w14:textId="49235B71" w:rsidR="00235473" w:rsidRPr="00E857CA" w:rsidRDefault="00235473" w:rsidP="00D4571A">
            <w:pPr>
              <w:widowControl w:val="0"/>
              <w:spacing w:after="0"/>
              <w:jc w:val="center"/>
              <w:rPr>
                <w:rFonts w:eastAsia="Times New Roman" w:cs="Arial"/>
                <w:bCs/>
                <w:snapToGrid w:val="0"/>
                <w:sz w:val="20"/>
                <w:szCs w:val="20"/>
                <w:lang w:eastAsia="en-US"/>
              </w:rPr>
            </w:pPr>
            <w:r w:rsidRPr="003E5009">
              <w:rPr>
                <w:rFonts w:eastAsia="Times New Roman" w:cs="Arial"/>
                <w:snapToGrid w:val="0"/>
                <w:sz w:val="20"/>
                <w:szCs w:val="20"/>
                <w:lang w:eastAsia="en-US"/>
              </w:rPr>
              <w:t>REDACTED</w:t>
            </w:r>
          </w:p>
        </w:tc>
        <w:tc>
          <w:tcPr>
            <w:tcW w:w="0" w:type="auto"/>
            <w:shd w:val="clear" w:color="auto" w:fill="auto"/>
          </w:tcPr>
          <w:p w14:paraId="6EC59D9C" w14:textId="502C85CC" w:rsidR="00235473" w:rsidRPr="00E857CA" w:rsidRDefault="00235473" w:rsidP="00D4571A">
            <w:pPr>
              <w:widowControl w:val="0"/>
              <w:spacing w:after="0"/>
              <w:jc w:val="center"/>
              <w:rPr>
                <w:rFonts w:eastAsia="Times New Roman" w:cs="Arial"/>
                <w:bCs/>
                <w:snapToGrid w:val="0"/>
                <w:sz w:val="20"/>
                <w:szCs w:val="20"/>
                <w:lang w:eastAsia="en-US"/>
              </w:rPr>
            </w:pPr>
            <w:r w:rsidRPr="003E5009">
              <w:rPr>
                <w:rFonts w:eastAsia="Times New Roman" w:cs="Arial"/>
                <w:snapToGrid w:val="0"/>
                <w:sz w:val="20"/>
                <w:szCs w:val="20"/>
                <w:lang w:eastAsia="en-US"/>
              </w:rPr>
              <w:t>REDACTED</w:t>
            </w:r>
          </w:p>
        </w:tc>
        <w:tc>
          <w:tcPr>
            <w:tcW w:w="0" w:type="auto"/>
            <w:shd w:val="clear" w:color="auto" w:fill="auto"/>
          </w:tcPr>
          <w:p w14:paraId="2E3C4B28" w14:textId="3FD0E026" w:rsidR="00235473" w:rsidRPr="00E857CA" w:rsidRDefault="00235473" w:rsidP="00D4571A">
            <w:pPr>
              <w:widowControl w:val="0"/>
              <w:spacing w:after="0"/>
              <w:jc w:val="center"/>
              <w:rPr>
                <w:rFonts w:eastAsia="Times New Roman" w:cs="Arial"/>
                <w:bCs/>
                <w:snapToGrid w:val="0"/>
                <w:sz w:val="20"/>
                <w:szCs w:val="20"/>
                <w:lang w:eastAsia="en-US"/>
              </w:rPr>
            </w:pPr>
            <w:r w:rsidRPr="003E5009">
              <w:rPr>
                <w:rFonts w:eastAsia="Times New Roman" w:cs="Arial"/>
                <w:snapToGrid w:val="0"/>
                <w:sz w:val="20"/>
                <w:szCs w:val="20"/>
                <w:lang w:eastAsia="en-US"/>
              </w:rPr>
              <w:t>REDACTED</w:t>
            </w:r>
          </w:p>
        </w:tc>
        <w:tc>
          <w:tcPr>
            <w:tcW w:w="0" w:type="auto"/>
            <w:shd w:val="clear" w:color="auto" w:fill="auto"/>
          </w:tcPr>
          <w:p w14:paraId="5A1BFD25" w14:textId="6176E4CB" w:rsidR="00235473" w:rsidRPr="00E857CA" w:rsidRDefault="00235473" w:rsidP="00D4571A">
            <w:pPr>
              <w:widowControl w:val="0"/>
              <w:spacing w:after="0"/>
              <w:jc w:val="center"/>
              <w:rPr>
                <w:rFonts w:eastAsia="Times New Roman" w:cs="Arial"/>
                <w:bCs/>
                <w:snapToGrid w:val="0"/>
                <w:sz w:val="20"/>
                <w:szCs w:val="20"/>
                <w:lang w:eastAsia="en-US"/>
              </w:rPr>
            </w:pPr>
            <w:r w:rsidRPr="003E5009">
              <w:rPr>
                <w:rFonts w:eastAsia="Times New Roman" w:cs="Arial"/>
                <w:snapToGrid w:val="0"/>
                <w:sz w:val="20"/>
                <w:szCs w:val="20"/>
                <w:lang w:eastAsia="en-US"/>
              </w:rPr>
              <w:t>REDACTED</w:t>
            </w:r>
          </w:p>
        </w:tc>
      </w:tr>
      <w:tr w:rsidR="00A8640D" w:rsidRPr="00E857CA" w14:paraId="3FF34190" w14:textId="77777777" w:rsidTr="00D4571A">
        <w:tc>
          <w:tcPr>
            <w:tcW w:w="0" w:type="auto"/>
            <w:gridSpan w:val="6"/>
            <w:shd w:val="clear" w:color="auto" w:fill="auto"/>
            <w:vAlign w:val="center"/>
          </w:tcPr>
          <w:p w14:paraId="59C043BB" w14:textId="77777777" w:rsidR="00A8640D" w:rsidRPr="00E857CA" w:rsidRDefault="00A8640D" w:rsidP="00D4571A">
            <w:pPr>
              <w:widowControl w:val="0"/>
              <w:spacing w:after="0"/>
              <w:rPr>
                <w:rFonts w:eastAsia="Times New Roman" w:cs="Arial"/>
                <w:b/>
                <w:bCs/>
                <w:snapToGrid w:val="0"/>
                <w:sz w:val="20"/>
                <w:szCs w:val="20"/>
                <w:lang w:eastAsia="en-US"/>
              </w:rPr>
            </w:pPr>
            <w:r w:rsidRPr="00E857CA">
              <w:rPr>
                <w:rFonts w:eastAsia="Times New Roman" w:cs="Arial"/>
                <w:b/>
                <w:i/>
                <w:snapToGrid w:val="0"/>
                <w:sz w:val="20"/>
                <w:szCs w:val="20"/>
                <w:lang w:eastAsia="en-US"/>
              </w:rPr>
              <w:t>Total utilisation</w:t>
            </w:r>
          </w:p>
        </w:tc>
      </w:tr>
      <w:tr w:rsidR="00235473" w:rsidRPr="00E857CA" w14:paraId="7F3CE1F1" w14:textId="77777777" w:rsidTr="00917967">
        <w:tc>
          <w:tcPr>
            <w:tcW w:w="0" w:type="auto"/>
            <w:shd w:val="clear" w:color="auto" w:fill="auto"/>
            <w:vAlign w:val="center"/>
          </w:tcPr>
          <w:p w14:paraId="722708FA" w14:textId="77777777" w:rsidR="00235473" w:rsidRPr="00E857CA" w:rsidRDefault="00235473" w:rsidP="00D4571A">
            <w:pPr>
              <w:widowControl w:val="0"/>
              <w:spacing w:after="0"/>
              <w:ind w:left="142" w:hanging="142"/>
              <w:rPr>
                <w:rFonts w:eastAsia="Times New Roman" w:cs="Arial"/>
                <w:snapToGrid w:val="0"/>
                <w:sz w:val="20"/>
                <w:szCs w:val="20"/>
                <w:lang w:eastAsia="en-US"/>
              </w:rPr>
            </w:pPr>
            <w:r w:rsidRPr="00E857CA">
              <w:rPr>
                <w:rFonts w:eastAsia="Times New Roman" w:cs="Arial"/>
                <w:snapToGrid w:val="0"/>
                <w:sz w:val="20"/>
                <w:szCs w:val="20"/>
                <w:lang w:eastAsia="en-US"/>
              </w:rPr>
              <w:t xml:space="preserve">Number patients </w:t>
            </w:r>
          </w:p>
        </w:tc>
        <w:tc>
          <w:tcPr>
            <w:tcW w:w="0" w:type="auto"/>
            <w:shd w:val="clear" w:color="auto" w:fill="auto"/>
          </w:tcPr>
          <w:p w14:paraId="5E904C97" w14:textId="3EF68E31" w:rsidR="00235473" w:rsidRPr="00E857CA" w:rsidRDefault="00235473" w:rsidP="00D4571A">
            <w:pPr>
              <w:widowControl w:val="0"/>
              <w:spacing w:after="0"/>
              <w:jc w:val="center"/>
              <w:rPr>
                <w:rFonts w:eastAsia="Times New Roman" w:cs="Arial"/>
                <w:snapToGrid w:val="0"/>
                <w:sz w:val="20"/>
                <w:szCs w:val="20"/>
                <w:lang w:eastAsia="en-US"/>
              </w:rPr>
            </w:pPr>
            <w:r w:rsidRPr="00845675">
              <w:rPr>
                <w:rFonts w:eastAsia="Times New Roman" w:cs="Arial"/>
                <w:snapToGrid w:val="0"/>
                <w:sz w:val="20"/>
                <w:szCs w:val="20"/>
                <w:lang w:eastAsia="en-US"/>
              </w:rPr>
              <w:t>REDACTED</w:t>
            </w:r>
          </w:p>
        </w:tc>
        <w:tc>
          <w:tcPr>
            <w:tcW w:w="0" w:type="auto"/>
            <w:shd w:val="clear" w:color="auto" w:fill="auto"/>
          </w:tcPr>
          <w:p w14:paraId="60D71ABD" w14:textId="562A52E9" w:rsidR="00235473" w:rsidRPr="00E857CA" w:rsidRDefault="00235473" w:rsidP="00D4571A">
            <w:pPr>
              <w:widowControl w:val="0"/>
              <w:spacing w:after="0"/>
              <w:jc w:val="center"/>
              <w:rPr>
                <w:rFonts w:eastAsia="Times New Roman" w:cs="Arial"/>
                <w:snapToGrid w:val="0"/>
                <w:sz w:val="20"/>
                <w:szCs w:val="20"/>
                <w:lang w:eastAsia="en-US"/>
              </w:rPr>
            </w:pPr>
            <w:r w:rsidRPr="00845675">
              <w:rPr>
                <w:rFonts w:eastAsia="Times New Roman" w:cs="Arial"/>
                <w:snapToGrid w:val="0"/>
                <w:sz w:val="20"/>
                <w:szCs w:val="20"/>
                <w:lang w:eastAsia="en-US"/>
              </w:rPr>
              <w:t>REDACTED</w:t>
            </w:r>
          </w:p>
        </w:tc>
        <w:tc>
          <w:tcPr>
            <w:tcW w:w="0" w:type="auto"/>
            <w:shd w:val="clear" w:color="auto" w:fill="auto"/>
          </w:tcPr>
          <w:p w14:paraId="3729B55A" w14:textId="250E4B77" w:rsidR="00235473" w:rsidRPr="00E857CA" w:rsidRDefault="00235473" w:rsidP="00D4571A">
            <w:pPr>
              <w:widowControl w:val="0"/>
              <w:spacing w:after="0"/>
              <w:jc w:val="center"/>
              <w:rPr>
                <w:rFonts w:eastAsia="Times New Roman" w:cs="Arial"/>
                <w:snapToGrid w:val="0"/>
                <w:sz w:val="20"/>
                <w:szCs w:val="20"/>
                <w:lang w:eastAsia="en-US"/>
              </w:rPr>
            </w:pPr>
            <w:r w:rsidRPr="00845675">
              <w:rPr>
                <w:rFonts w:eastAsia="Times New Roman" w:cs="Arial"/>
                <w:snapToGrid w:val="0"/>
                <w:sz w:val="20"/>
                <w:szCs w:val="20"/>
                <w:lang w:eastAsia="en-US"/>
              </w:rPr>
              <w:t>REDACTED</w:t>
            </w:r>
          </w:p>
        </w:tc>
        <w:tc>
          <w:tcPr>
            <w:tcW w:w="0" w:type="auto"/>
            <w:shd w:val="clear" w:color="auto" w:fill="auto"/>
          </w:tcPr>
          <w:p w14:paraId="561F1EBA" w14:textId="19602CE9" w:rsidR="00235473" w:rsidRPr="00E857CA" w:rsidRDefault="00235473" w:rsidP="00D4571A">
            <w:pPr>
              <w:widowControl w:val="0"/>
              <w:spacing w:after="0"/>
              <w:jc w:val="center"/>
              <w:rPr>
                <w:rFonts w:eastAsia="Times New Roman" w:cs="Arial"/>
                <w:snapToGrid w:val="0"/>
                <w:sz w:val="20"/>
                <w:szCs w:val="20"/>
                <w:lang w:eastAsia="en-US"/>
              </w:rPr>
            </w:pPr>
            <w:r w:rsidRPr="00845675">
              <w:rPr>
                <w:rFonts w:eastAsia="Times New Roman" w:cs="Arial"/>
                <w:snapToGrid w:val="0"/>
                <w:sz w:val="20"/>
                <w:szCs w:val="20"/>
                <w:lang w:eastAsia="en-US"/>
              </w:rPr>
              <w:t>REDACTED</w:t>
            </w:r>
          </w:p>
        </w:tc>
        <w:tc>
          <w:tcPr>
            <w:tcW w:w="0" w:type="auto"/>
            <w:shd w:val="clear" w:color="auto" w:fill="auto"/>
          </w:tcPr>
          <w:p w14:paraId="02EAA808" w14:textId="4E602277" w:rsidR="00235473" w:rsidRPr="00E857CA" w:rsidRDefault="00235473" w:rsidP="00D4571A">
            <w:pPr>
              <w:widowControl w:val="0"/>
              <w:spacing w:after="0"/>
              <w:jc w:val="center"/>
              <w:rPr>
                <w:rFonts w:eastAsia="Times New Roman" w:cs="Arial"/>
                <w:snapToGrid w:val="0"/>
                <w:sz w:val="20"/>
                <w:szCs w:val="20"/>
                <w:lang w:eastAsia="en-US"/>
              </w:rPr>
            </w:pPr>
            <w:r w:rsidRPr="00845675">
              <w:rPr>
                <w:rFonts w:eastAsia="Times New Roman" w:cs="Arial"/>
                <w:snapToGrid w:val="0"/>
                <w:sz w:val="20"/>
                <w:szCs w:val="20"/>
                <w:lang w:eastAsia="en-US"/>
              </w:rPr>
              <w:t>REDACTED</w:t>
            </w:r>
          </w:p>
        </w:tc>
      </w:tr>
      <w:tr w:rsidR="00235473" w:rsidRPr="00E857CA" w14:paraId="5891D194" w14:textId="77777777" w:rsidTr="00917967">
        <w:tc>
          <w:tcPr>
            <w:tcW w:w="0" w:type="auto"/>
            <w:shd w:val="clear" w:color="auto" w:fill="auto"/>
            <w:vAlign w:val="center"/>
          </w:tcPr>
          <w:p w14:paraId="5DB4CCBE" w14:textId="77777777" w:rsidR="00235473" w:rsidRPr="00E857CA" w:rsidRDefault="00235473" w:rsidP="00D4571A">
            <w:pPr>
              <w:widowControl w:val="0"/>
              <w:spacing w:after="0"/>
              <w:ind w:left="142" w:hanging="142"/>
              <w:rPr>
                <w:rFonts w:eastAsia="Times New Roman" w:cs="Arial"/>
                <w:snapToGrid w:val="0"/>
                <w:sz w:val="20"/>
                <w:szCs w:val="20"/>
                <w:lang w:eastAsia="en-US"/>
              </w:rPr>
            </w:pPr>
            <w:r w:rsidRPr="00E857CA">
              <w:rPr>
                <w:rFonts w:eastAsia="Times New Roman" w:cs="Arial"/>
                <w:snapToGrid w:val="0"/>
                <w:sz w:val="20"/>
                <w:szCs w:val="20"/>
                <w:lang w:eastAsia="en-US"/>
              </w:rPr>
              <w:t>Number of packs of TSI</w:t>
            </w:r>
          </w:p>
        </w:tc>
        <w:tc>
          <w:tcPr>
            <w:tcW w:w="0" w:type="auto"/>
            <w:shd w:val="clear" w:color="auto" w:fill="auto"/>
          </w:tcPr>
          <w:p w14:paraId="7C1F7EE5" w14:textId="13B9B390" w:rsidR="00235473" w:rsidRPr="00E857CA" w:rsidRDefault="00235473" w:rsidP="00D4571A">
            <w:pPr>
              <w:widowControl w:val="0"/>
              <w:spacing w:after="0"/>
              <w:jc w:val="center"/>
              <w:rPr>
                <w:rFonts w:eastAsia="Times New Roman" w:cs="Arial"/>
                <w:bCs/>
                <w:snapToGrid w:val="0"/>
                <w:sz w:val="20"/>
                <w:szCs w:val="20"/>
                <w:lang w:eastAsia="en-US"/>
              </w:rPr>
            </w:pPr>
            <w:r w:rsidRPr="00845675">
              <w:rPr>
                <w:rFonts w:eastAsia="Times New Roman" w:cs="Arial"/>
                <w:snapToGrid w:val="0"/>
                <w:sz w:val="20"/>
                <w:szCs w:val="20"/>
                <w:lang w:eastAsia="en-US"/>
              </w:rPr>
              <w:t>REDACTED</w:t>
            </w:r>
          </w:p>
        </w:tc>
        <w:tc>
          <w:tcPr>
            <w:tcW w:w="0" w:type="auto"/>
            <w:shd w:val="clear" w:color="auto" w:fill="auto"/>
          </w:tcPr>
          <w:p w14:paraId="5F540A48" w14:textId="30BB85F1" w:rsidR="00235473" w:rsidRPr="00E857CA" w:rsidRDefault="00235473" w:rsidP="00D4571A">
            <w:pPr>
              <w:widowControl w:val="0"/>
              <w:spacing w:after="0"/>
              <w:jc w:val="center"/>
              <w:rPr>
                <w:rFonts w:eastAsia="Times New Roman" w:cs="Arial"/>
                <w:bCs/>
                <w:snapToGrid w:val="0"/>
                <w:sz w:val="20"/>
                <w:szCs w:val="20"/>
                <w:lang w:eastAsia="en-US"/>
              </w:rPr>
            </w:pPr>
            <w:r w:rsidRPr="00845675">
              <w:rPr>
                <w:rFonts w:eastAsia="Times New Roman" w:cs="Arial"/>
                <w:snapToGrid w:val="0"/>
                <w:sz w:val="20"/>
                <w:szCs w:val="20"/>
                <w:lang w:eastAsia="en-US"/>
              </w:rPr>
              <w:t>REDACTED</w:t>
            </w:r>
          </w:p>
        </w:tc>
        <w:tc>
          <w:tcPr>
            <w:tcW w:w="0" w:type="auto"/>
            <w:shd w:val="clear" w:color="auto" w:fill="auto"/>
          </w:tcPr>
          <w:p w14:paraId="361B45FF" w14:textId="3071D0B3" w:rsidR="00235473" w:rsidRPr="00E857CA" w:rsidRDefault="00235473" w:rsidP="00D4571A">
            <w:pPr>
              <w:widowControl w:val="0"/>
              <w:spacing w:after="0"/>
              <w:jc w:val="center"/>
              <w:rPr>
                <w:rFonts w:eastAsia="Times New Roman" w:cs="Arial"/>
                <w:bCs/>
                <w:snapToGrid w:val="0"/>
                <w:sz w:val="20"/>
                <w:szCs w:val="20"/>
                <w:lang w:eastAsia="en-US"/>
              </w:rPr>
            </w:pPr>
            <w:r w:rsidRPr="00845675">
              <w:rPr>
                <w:rFonts w:eastAsia="Times New Roman" w:cs="Arial"/>
                <w:snapToGrid w:val="0"/>
                <w:sz w:val="20"/>
                <w:szCs w:val="20"/>
                <w:lang w:eastAsia="en-US"/>
              </w:rPr>
              <w:t>REDACTED</w:t>
            </w:r>
          </w:p>
        </w:tc>
        <w:tc>
          <w:tcPr>
            <w:tcW w:w="0" w:type="auto"/>
            <w:shd w:val="clear" w:color="auto" w:fill="auto"/>
          </w:tcPr>
          <w:p w14:paraId="4F59194F" w14:textId="19A79DDF" w:rsidR="00235473" w:rsidRPr="00E857CA" w:rsidRDefault="00235473" w:rsidP="00D4571A">
            <w:pPr>
              <w:widowControl w:val="0"/>
              <w:spacing w:after="0"/>
              <w:jc w:val="center"/>
              <w:rPr>
                <w:rFonts w:eastAsia="Times New Roman" w:cs="Arial"/>
                <w:bCs/>
                <w:snapToGrid w:val="0"/>
                <w:sz w:val="20"/>
                <w:szCs w:val="20"/>
                <w:lang w:eastAsia="en-US"/>
              </w:rPr>
            </w:pPr>
            <w:r w:rsidRPr="00845675">
              <w:rPr>
                <w:rFonts w:eastAsia="Times New Roman" w:cs="Arial"/>
                <w:snapToGrid w:val="0"/>
                <w:sz w:val="20"/>
                <w:szCs w:val="20"/>
                <w:lang w:eastAsia="en-US"/>
              </w:rPr>
              <w:t>REDACTED</w:t>
            </w:r>
          </w:p>
        </w:tc>
        <w:tc>
          <w:tcPr>
            <w:tcW w:w="0" w:type="auto"/>
            <w:shd w:val="clear" w:color="auto" w:fill="auto"/>
          </w:tcPr>
          <w:p w14:paraId="282CC517" w14:textId="591720BF" w:rsidR="00235473" w:rsidRPr="00E857CA" w:rsidRDefault="00235473" w:rsidP="00D4571A">
            <w:pPr>
              <w:widowControl w:val="0"/>
              <w:spacing w:after="0"/>
              <w:jc w:val="center"/>
              <w:rPr>
                <w:rFonts w:eastAsia="Times New Roman" w:cs="Arial"/>
                <w:bCs/>
                <w:snapToGrid w:val="0"/>
                <w:sz w:val="20"/>
                <w:szCs w:val="20"/>
                <w:lang w:eastAsia="en-US"/>
              </w:rPr>
            </w:pPr>
            <w:r w:rsidRPr="00845675">
              <w:rPr>
                <w:rFonts w:eastAsia="Times New Roman" w:cs="Arial"/>
                <w:snapToGrid w:val="0"/>
                <w:sz w:val="20"/>
                <w:szCs w:val="20"/>
                <w:lang w:eastAsia="en-US"/>
              </w:rPr>
              <w:t>REDACTED</w:t>
            </w:r>
          </w:p>
        </w:tc>
      </w:tr>
      <w:tr w:rsidR="00A8640D" w:rsidRPr="00E857CA" w14:paraId="040BFC79" w14:textId="77777777" w:rsidTr="00D4571A">
        <w:tc>
          <w:tcPr>
            <w:tcW w:w="0" w:type="auto"/>
            <w:shd w:val="clear" w:color="auto" w:fill="auto"/>
            <w:vAlign w:val="center"/>
          </w:tcPr>
          <w:p w14:paraId="688BEE34" w14:textId="77777777" w:rsidR="00A8640D" w:rsidRPr="00E857CA" w:rsidRDefault="00A8640D" w:rsidP="00D4571A">
            <w:pPr>
              <w:widowControl w:val="0"/>
              <w:spacing w:after="0"/>
              <w:ind w:left="142" w:hanging="142"/>
              <w:rPr>
                <w:rFonts w:eastAsia="Times New Roman" w:cs="Arial"/>
                <w:snapToGrid w:val="0"/>
                <w:sz w:val="20"/>
                <w:szCs w:val="20"/>
                <w:lang w:eastAsia="en-US"/>
              </w:rPr>
            </w:pPr>
            <w:r w:rsidRPr="00E857CA">
              <w:rPr>
                <w:rFonts w:eastAsia="Times New Roman" w:cs="Arial"/>
                <w:snapToGrid w:val="0"/>
                <w:sz w:val="20"/>
                <w:szCs w:val="20"/>
                <w:lang w:eastAsia="en-US"/>
              </w:rPr>
              <w:t xml:space="preserve">Net cost to PBS  (effective) </w:t>
            </w:r>
          </w:p>
        </w:tc>
        <w:tc>
          <w:tcPr>
            <w:tcW w:w="0" w:type="auto"/>
            <w:shd w:val="clear" w:color="auto" w:fill="auto"/>
            <w:vAlign w:val="center"/>
          </w:tcPr>
          <w:p w14:paraId="5B3E3866" w14:textId="07F5AB76" w:rsidR="00A8640D" w:rsidRPr="00E857CA" w:rsidRDefault="008C671C" w:rsidP="00D4571A">
            <w:pPr>
              <w:widowControl w:val="0"/>
              <w:spacing w:after="0"/>
              <w:jc w:val="center"/>
              <w:rPr>
                <w:rFonts w:cs="Arial"/>
                <w:b/>
                <w:bCs/>
                <w:sz w:val="20"/>
                <w:szCs w:val="20"/>
              </w:rPr>
            </w:pPr>
            <w:r>
              <w:rPr>
                <w:rFonts w:cs="Arial"/>
                <w:b/>
                <w:bCs/>
                <w:sz w:val="20"/>
                <w:szCs w:val="20"/>
              </w:rPr>
              <w:t>$</w:t>
            </w:r>
            <w:r w:rsidR="00235473">
              <w:rPr>
                <w:rFonts w:eastAsia="Times New Roman" w:cs="Arial"/>
                <w:snapToGrid w:val="0"/>
                <w:sz w:val="20"/>
                <w:szCs w:val="20"/>
                <w:lang w:eastAsia="en-US"/>
              </w:rPr>
              <w:t xml:space="preserve"> REDACTED</w:t>
            </w:r>
          </w:p>
        </w:tc>
        <w:tc>
          <w:tcPr>
            <w:tcW w:w="0" w:type="auto"/>
            <w:shd w:val="clear" w:color="auto" w:fill="auto"/>
            <w:vAlign w:val="center"/>
          </w:tcPr>
          <w:p w14:paraId="7D069664" w14:textId="126B9BB0" w:rsidR="00A8640D" w:rsidRPr="00E857CA" w:rsidRDefault="00A8640D" w:rsidP="00D4571A">
            <w:pPr>
              <w:widowControl w:val="0"/>
              <w:spacing w:after="0"/>
              <w:jc w:val="center"/>
              <w:rPr>
                <w:rFonts w:cs="Arial"/>
                <w:b/>
                <w:bCs/>
                <w:sz w:val="20"/>
                <w:szCs w:val="20"/>
              </w:rPr>
            </w:pPr>
            <w:r w:rsidRPr="0090010F">
              <w:rPr>
                <w:rFonts w:cs="Arial"/>
                <w:b/>
                <w:bCs/>
                <w:sz w:val="20"/>
                <w:szCs w:val="20"/>
              </w:rPr>
              <w:t>$</w:t>
            </w:r>
            <w:r w:rsidR="00235473">
              <w:rPr>
                <w:rFonts w:eastAsia="Times New Roman" w:cs="Arial"/>
                <w:snapToGrid w:val="0"/>
                <w:sz w:val="20"/>
                <w:szCs w:val="20"/>
                <w:lang w:eastAsia="en-US"/>
              </w:rPr>
              <w:t xml:space="preserve"> REDACTED</w:t>
            </w:r>
          </w:p>
        </w:tc>
        <w:tc>
          <w:tcPr>
            <w:tcW w:w="0" w:type="auto"/>
            <w:shd w:val="clear" w:color="auto" w:fill="auto"/>
            <w:vAlign w:val="center"/>
          </w:tcPr>
          <w:p w14:paraId="00C46568" w14:textId="45F6C0CC" w:rsidR="00A8640D" w:rsidRPr="00E857CA" w:rsidRDefault="00A8640D" w:rsidP="00D4571A">
            <w:pPr>
              <w:widowControl w:val="0"/>
              <w:spacing w:after="0"/>
              <w:jc w:val="center"/>
              <w:rPr>
                <w:rFonts w:cs="Arial"/>
                <w:b/>
                <w:bCs/>
                <w:sz w:val="20"/>
                <w:szCs w:val="20"/>
              </w:rPr>
            </w:pPr>
            <w:r w:rsidRPr="0090010F">
              <w:rPr>
                <w:rFonts w:cs="Arial"/>
                <w:b/>
                <w:bCs/>
                <w:sz w:val="20"/>
                <w:szCs w:val="20"/>
              </w:rPr>
              <w:t>$</w:t>
            </w:r>
            <w:r w:rsidR="00235473">
              <w:rPr>
                <w:rFonts w:eastAsia="Times New Roman" w:cs="Arial"/>
                <w:snapToGrid w:val="0"/>
                <w:sz w:val="20"/>
                <w:szCs w:val="20"/>
                <w:lang w:eastAsia="en-US"/>
              </w:rPr>
              <w:t xml:space="preserve"> REDACTED</w:t>
            </w:r>
          </w:p>
        </w:tc>
        <w:tc>
          <w:tcPr>
            <w:tcW w:w="0" w:type="auto"/>
            <w:shd w:val="clear" w:color="auto" w:fill="auto"/>
            <w:vAlign w:val="center"/>
          </w:tcPr>
          <w:p w14:paraId="0972E9A0" w14:textId="46A65754" w:rsidR="00A8640D" w:rsidRPr="00E857CA" w:rsidRDefault="00A8640D" w:rsidP="00D4571A">
            <w:pPr>
              <w:widowControl w:val="0"/>
              <w:spacing w:after="0"/>
              <w:jc w:val="center"/>
              <w:rPr>
                <w:rFonts w:cs="Arial"/>
                <w:b/>
                <w:bCs/>
                <w:sz w:val="20"/>
                <w:szCs w:val="20"/>
              </w:rPr>
            </w:pPr>
            <w:r w:rsidRPr="0090010F">
              <w:rPr>
                <w:rFonts w:cs="Arial"/>
                <w:b/>
                <w:bCs/>
                <w:sz w:val="20"/>
                <w:szCs w:val="20"/>
              </w:rPr>
              <w:t>$</w:t>
            </w:r>
            <w:r w:rsidR="00235473">
              <w:rPr>
                <w:rFonts w:eastAsia="Times New Roman" w:cs="Arial"/>
                <w:snapToGrid w:val="0"/>
                <w:sz w:val="20"/>
                <w:szCs w:val="20"/>
                <w:lang w:eastAsia="en-US"/>
              </w:rPr>
              <w:t xml:space="preserve"> REDACTED</w:t>
            </w:r>
          </w:p>
        </w:tc>
        <w:tc>
          <w:tcPr>
            <w:tcW w:w="0" w:type="auto"/>
            <w:shd w:val="clear" w:color="auto" w:fill="auto"/>
            <w:vAlign w:val="center"/>
          </w:tcPr>
          <w:p w14:paraId="1879645D" w14:textId="0735AF44" w:rsidR="00A8640D" w:rsidRPr="00E857CA" w:rsidRDefault="00A8640D" w:rsidP="00D4571A">
            <w:pPr>
              <w:widowControl w:val="0"/>
              <w:spacing w:after="0"/>
              <w:jc w:val="center"/>
              <w:rPr>
                <w:rFonts w:cs="Arial"/>
                <w:b/>
                <w:bCs/>
                <w:sz w:val="20"/>
                <w:szCs w:val="20"/>
              </w:rPr>
            </w:pPr>
            <w:r w:rsidRPr="0090010F">
              <w:rPr>
                <w:rFonts w:cs="Arial"/>
                <w:b/>
                <w:bCs/>
                <w:sz w:val="20"/>
                <w:szCs w:val="20"/>
              </w:rPr>
              <w:t>$</w:t>
            </w:r>
            <w:r w:rsidR="00235473">
              <w:rPr>
                <w:rFonts w:eastAsia="Times New Roman" w:cs="Arial"/>
                <w:snapToGrid w:val="0"/>
                <w:sz w:val="20"/>
                <w:szCs w:val="20"/>
                <w:lang w:eastAsia="en-US"/>
              </w:rPr>
              <w:t xml:space="preserve"> REDACTED</w:t>
            </w:r>
          </w:p>
        </w:tc>
      </w:tr>
      <w:tr w:rsidR="00A8640D" w:rsidRPr="00E857CA" w14:paraId="60CB00BE" w14:textId="77777777" w:rsidTr="00D4571A">
        <w:tc>
          <w:tcPr>
            <w:tcW w:w="0" w:type="auto"/>
            <w:shd w:val="clear" w:color="auto" w:fill="auto"/>
            <w:vAlign w:val="center"/>
          </w:tcPr>
          <w:p w14:paraId="5AE15E06" w14:textId="77777777" w:rsidR="00A8640D" w:rsidRPr="00E857CA" w:rsidRDefault="00A8640D" w:rsidP="00D4571A">
            <w:pPr>
              <w:widowControl w:val="0"/>
              <w:spacing w:after="0"/>
              <w:ind w:left="142" w:hanging="142"/>
              <w:rPr>
                <w:rFonts w:eastAsia="Times New Roman" w:cs="Arial"/>
                <w:snapToGrid w:val="0"/>
                <w:sz w:val="20"/>
                <w:szCs w:val="20"/>
                <w:lang w:eastAsia="en-US"/>
              </w:rPr>
            </w:pPr>
            <w:r w:rsidRPr="00E857CA">
              <w:rPr>
                <w:rFonts w:eastAsia="Times New Roman" w:cs="Arial"/>
                <w:snapToGrid w:val="0"/>
                <w:sz w:val="20"/>
                <w:szCs w:val="20"/>
                <w:lang w:eastAsia="en-US"/>
              </w:rPr>
              <w:t>Net cost to PBS  (published)</w:t>
            </w:r>
          </w:p>
        </w:tc>
        <w:tc>
          <w:tcPr>
            <w:tcW w:w="0" w:type="auto"/>
            <w:shd w:val="clear" w:color="auto" w:fill="auto"/>
            <w:vAlign w:val="center"/>
          </w:tcPr>
          <w:p w14:paraId="12E0E6E2" w14:textId="2A92CCFF" w:rsidR="00A8640D" w:rsidRPr="00E857CA" w:rsidRDefault="00A8640D" w:rsidP="00D4571A">
            <w:pPr>
              <w:widowControl w:val="0"/>
              <w:spacing w:after="0"/>
              <w:jc w:val="center"/>
              <w:rPr>
                <w:rFonts w:cs="Arial"/>
                <w:b/>
                <w:bCs/>
                <w:sz w:val="20"/>
                <w:szCs w:val="20"/>
              </w:rPr>
            </w:pPr>
            <w:r w:rsidRPr="0090010F">
              <w:rPr>
                <w:rFonts w:cs="Arial"/>
                <w:b/>
                <w:bCs/>
                <w:sz w:val="20"/>
                <w:szCs w:val="20"/>
              </w:rPr>
              <w:t>$</w:t>
            </w:r>
            <w:r w:rsidR="00235473">
              <w:rPr>
                <w:rFonts w:eastAsia="Times New Roman" w:cs="Arial"/>
                <w:snapToGrid w:val="0"/>
                <w:sz w:val="20"/>
                <w:szCs w:val="20"/>
                <w:lang w:eastAsia="en-US"/>
              </w:rPr>
              <w:t xml:space="preserve"> REDACTED</w:t>
            </w:r>
          </w:p>
        </w:tc>
        <w:tc>
          <w:tcPr>
            <w:tcW w:w="0" w:type="auto"/>
            <w:shd w:val="clear" w:color="auto" w:fill="auto"/>
            <w:vAlign w:val="center"/>
          </w:tcPr>
          <w:p w14:paraId="59062E0A" w14:textId="5068A110" w:rsidR="00A8640D" w:rsidRPr="00E857CA" w:rsidRDefault="00A8640D" w:rsidP="00D4571A">
            <w:pPr>
              <w:widowControl w:val="0"/>
              <w:spacing w:after="0"/>
              <w:jc w:val="center"/>
              <w:rPr>
                <w:rFonts w:cs="Arial"/>
                <w:b/>
                <w:bCs/>
                <w:sz w:val="20"/>
                <w:szCs w:val="20"/>
              </w:rPr>
            </w:pPr>
            <w:r w:rsidRPr="0090010F">
              <w:rPr>
                <w:rFonts w:cs="Arial"/>
                <w:b/>
                <w:bCs/>
                <w:sz w:val="20"/>
                <w:szCs w:val="20"/>
              </w:rPr>
              <w:t>$</w:t>
            </w:r>
            <w:r w:rsidR="00235473">
              <w:rPr>
                <w:rFonts w:eastAsia="Times New Roman" w:cs="Arial"/>
                <w:snapToGrid w:val="0"/>
                <w:sz w:val="20"/>
                <w:szCs w:val="20"/>
                <w:lang w:eastAsia="en-US"/>
              </w:rPr>
              <w:t xml:space="preserve"> REDACTED</w:t>
            </w:r>
          </w:p>
        </w:tc>
        <w:tc>
          <w:tcPr>
            <w:tcW w:w="0" w:type="auto"/>
            <w:shd w:val="clear" w:color="auto" w:fill="auto"/>
            <w:vAlign w:val="center"/>
          </w:tcPr>
          <w:p w14:paraId="5D21097A" w14:textId="312A3A11" w:rsidR="00A8640D" w:rsidRPr="00E857CA" w:rsidRDefault="00A8640D" w:rsidP="00D4571A">
            <w:pPr>
              <w:widowControl w:val="0"/>
              <w:spacing w:after="0"/>
              <w:jc w:val="center"/>
              <w:rPr>
                <w:rFonts w:cs="Arial"/>
                <w:b/>
                <w:bCs/>
                <w:sz w:val="20"/>
                <w:szCs w:val="20"/>
              </w:rPr>
            </w:pPr>
            <w:r w:rsidRPr="0090010F">
              <w:rPr>
                <w:rFonts w:cs="Arial"/>
                <w:b/>
                <w:bCs/>
                <w:sz w:val="20"/>
                <w:szCs w:val="20"/>
              </w:rPr>
              <w:t>$</w:t>
            </w:r>
            <w:r w:rsidR="00235473">
              <w:rPr>
                <w:rFonts w:eastAsia="Times New Roman" w:cs="Arial"/>
                <w:snapToGrid w:val="0"/>
                <w:sz w:val="20"/>
                <w:szCs w:val="20"/>
                <w:lang w:eastAsia="en-US"/>
              </w:rPr>
              <w:t xml:space="preserve"> REDACTED</w:t>
            </w:r>
          </w:p>
        </w:tc>
        <w:tc>
          <w:tcPr>
            <w:tcW w:w="0" w:type="auto"/>
            <w:shd w:val="clear" w:color="auto" w:fill="auto"/>
            <w:vAlign w:val="center"/>
          </w:tcPr>
          <w:p w14:paraId="577570F9" w14:textId="69B0B505" w:rsidR="00A8640D" w:rsidRPr="00E857CA" w:rsidRDefault="00A8640D" w:rsidP="00D4571A">
            <w:pPr>
              <w:widowControl w:val="0"/>
              <w:spacing w:after="0"/>
              <w:jc w:val="center"/>
              <w:rPr>
                <w:rFonts w:cs="Arial"/>
                <w:b/>
                <w:bCs/>
                <w:sz w:val="20"/>
                <w:szCs w:val="20"/>
              </w:rPr>
            </w:pPr>
            <w:r w:rsidRPr="0090010F">
              <w:rPr>
                <w:rFonts w:cs="Arial"/>
                <w:b/>
                <w:bCs/>
                <w:sz w:val="20"/>
                <w:szCs w:val="20"/>
              </w:rPr>
              <w:t>$</w:t>
            </w:r>
            <w:r w:rsidR="00235473">
              <w:rPr>
                <w:rFonts w:eastAsia="Times New Roman" w:cs="Arial"/>
                <w:snapToGrid w:val="0"/>
                <w:sz w:val="20"/>
                <w:szCs w:val="20"/>
                <w:lang w:eastAsia="en-US"/>
              </w:rPr>
              <w:t xml:space="preserve"> REDACTED</w:t>
            </w:r>
          </w:p>
        </w:tc>
        <w:tc>
          <w:tcPr>
            <w:tcW w:w="0" w:type="auto"/>
            <w:shd w:val="clear" w:color="auto" w:fill="auto"/>
            <w:vAlign w:val="center"/>
          </w:tcPr>
          <w:p w14:paraId="4F7BF0A0" w14:textId="76476A59" w:rsidR="00A8640D" w:rsidRPr="00E857CA" w:rsidRDefault="00A8640D" w:rsidP="00D4571A">
            <w:pPr>
              <w:widowControl w:val="0"/>
              <w:spacing w:after="0"/>
              <w:jc w:val="center"/>
              <w:rPr>
                <w:rFonts w:cs="Arial"/>
                <w:b/>
                <w:bCs/>
                <w:sz w:val="20"/>
                <w:szCs w:val="20"/>
              </w:rPr>
            </w:pPr>
            <w:r w:rsidRPr="0090010F">
              <w:rPr>
                <w:rFonts w:cs="Arial"/>
                <w:b/>
                <w:bCs/>
                <w:sz w:val="20"/>
                <w:szCs w:val="20"/>
              </w:rPr>
              <w:t>$</w:t>
            </w:r>
            <w:r w:rsidR="00235473">
              <w:rPr>
                <w:rFonts w:eastAsia="Times New Roman" w:cs="Arial"/>
                <w:snapToGrid w:val="0"/>
                <w:sz w:val="20"/>
                <w:szCs w:val="20"/>
                <w:lang w:eastAsia="en-US"/>
              </w:rPr>
              <w:t xml:space="preserve"> REDACTED</w:t>
            </w:r>
          </w:p>
        </w:tc>
      </w:tr>
    </w:tbl>
    <w:p w14:paraId="66E851F6" w14:textId="77777777" w:rsidR="00A8640D" w:rsidRDefault="00A8640D" w:rsidP="00EF0065">
      <w:pPr>
        <w:pStyle w:val="Figurecaption"/>
      </w:pPr>
      <w:r>
        <w:t>Source: Tobramycin final estimates model</w:t>
      </w:r>
    </w:p>
    <w:p w14:paraId="799D3B81" w14:textId="77777777" w:rsidR="00A8640D" w:rsidRDefault="00A8640D" w:rsidP="00A8640D">
      <w:pPr>
        <w:pStyle w:val="NoSpacing"/>
      </w:pPr>
      <w:r>
        <w:t xml:space="preserve">The utilisation of tobramycin vials for IV injection was expected to decrease as a result of PBS listing. </w:t>
      </w:r>
    </w:p>
    <w:p w14:paraId="2973803F" w14:textId="4F7FC8E6" w:rsidR="00BE2302" w:rsidRDefault="00BE2302" w:rsidP="00A8640D">
      <w:pPr>
        <w:pStyle w:val="NoSpacing"/>
      </w:pPr>
      <w:r>
        <w:lastRenderedPageBreak/>
        <w:t xml:space="preserve">Patient numbers and packs of TSI in each of the first five years of listing were less than 10,000 per year.  </w:t>
      </w:r>
      <w:r w:rsidR="00180B4E">
        <w:t xml:space="preserve">The estimated net financial implication to the PBS in </w:t>
      </w:r>
      <w:r w:rsidR="00F57F76">
        <w:t xml:space="preserve">each of the first five years of listing </w:t>
      </w:r>
      <w:r w:rsidR="00180B4E">
        <w:t>was less than $10 million.</w:t>
      </w:r>
    </w:p>
    <w:p w14:paraId="0DEBD50F" w14:textId="15FAF547" w:rsidR="00094DCF" w:rsidRDefault="00ED633B" w:rsidP="000933D3">
      <w:pPr>
        <w:pStyle w:val="Heading4"/>
      </w:pPr>
      <w:r w:rsidRPr="005C25A2">
        <w:t xml:space="preserve">Previous reviews by </w:t>
      </w:r>
      <w:r w:rsidR="005C597F" w:rsidRPr="005C25A2">
        <w:t xml:space="preserve">the </w:t>
      </w:r>
      <w:r w:rsidRPr="005C25A2">
        <w:t>DUSC</w:t>
      </w:r>
    </w:p>
    <w:p w14:paraId="053B3A75" w14:textId="3046C6EA" w:rsidR="007A07A2" w:rsidRDefault="00DF3656" w:rsidP="007A07A2">
      <w:r>
        <w:t xml:space="preserve">The </w:t>
      </w:r>
      <w:r w:rsidR="007A07A2">
        <w:t>DUSC examined the utilisation of TSI in its first ye</w:t>
      </w:r>
      <w:r w:rsidR="00FB066A">
        <w:t xml:space="preserve">ar of </w:t>
      </w:r>
      <w:r w:rsidR="00F5768B">
        <w:t xml:space="preserve">listing </w:t>
      </w:r>
      <w:r w:rsidR="00FB066A">
        <w:t>at the June 2013 meeting.</w:t>
      </w:r>
      <w:r w:rsidR="008B4B81">
        <w:t xml:space="preserve"> </w:t>
      </w:r>
    </w:p>
    <w:p w14:paraId="4C3E425E" w14:textId="3384C059" w:rsidR="007A07A2" w:rsidRDefault="00ED5781" w:rsidP="007A07A2">
      <w:r>
        <w:t>At the June 2013 meeting, t</w:t>
      </w:r>
      <w:r w:rsidR="007A07A2">
        <w:t>he DUSC noted that while the actual number of prescriptions and expenditure of TSI were similar to predicted values, there were a number of differences in how TSI was predicted to be used and how it was used in practice</w:t>
      </w:r>
      <w:r w:rsidR="008D29F4">
        <w:t xml:space="preserve">.  </w:t>
      </w:r>
      <w:r w:rsidR="00CD28A8" w:rsidRPr="00CD28A8">
        <w:t xml:space="preserve">The uptake rate of TSI was underestimated, while the number of </w:t>
      </w:r>
      <w:r w:rsidR="00140B3D">
        <w:t>pre</w:t>
      </w:r>
      <w:r w:rsidR="00CD28A8" w:rsidRPr="00CD28A8">
        <w:t>scrip</w:t>
      </w:r>
      <w:r w:rsidR="00CD28A8">
        <w:t>t</w:t>
      </w:r>
      <w:r w:rsidR="00140B3D">
        <w:t>ion</w:t>
      </w:r>
      <w:r w:rsidR="00CD28A8">
        <w:t>s per person was overestimated</w:t>
      </w:r>
      <w:r w:rsidR="00CD28A8" w:rsidRPr="00CD28A8">
        <w:t>.</w:t>
      </w:r>
      <w:r w:rsidR="00CD28A8">
        <w:t xml:space="preserve">  </w:t>
      </w:r>
      <w:r w:rsidR="009810A6">
        <w:t xml:space="preserve">The </w:t>
      </w:r>
      <w:r w:rsidR="007A07A2">
        <w:t xml:space="preserve">DUSC considered there to be a number of possible explanations for these findings such as: </w:t>
      </w:r>
    </w:p>
    <w:p w14:paraId="0B84DBE8" w14:textId="428D5A24" w:rsidR="007A07A2" w:rsidRDefault="007A07A2" w:rsidP="007A07A2">
      <w:pPr>
        <w:pStyle w:val="ListParagraph"/>
        <w:numPr>
          <w:ilvl w:val="0"/>
          <w:numId w:val="4"/>
        </w:numPr>
      </w:pPr>
      <w:r>
        <w:t>Potential ‘stock management’ occurring within families, given that CF is a genetic disease and families may be sharing prescriptions;</w:t>
      </w:r>
    </w:p>
    <w:p w14:paraId="02F4F8E6" w14:textId="6CEAFE8A" w:rsidR="007A07A2" w:rsidRDefault="007A07A2" w:rsidP="007A07A2">
      <w:pPr>
        <w:pStyle w:val="ListParagraph"/>
        <w:numPr>
          <w:ilvl w:val="0"/>
          <w:numId w:val="4"/>
        </w:numPr>
      </w:pPr>
      <w:r>
        <w:t xml:space="preserve">Patients may be on continuous therapy rather than cyclical – however DUSC did not think that this was likely to be a major reason – if there was a lot of continuous therapy, the </w:t>
      </w:r>
      <w:r w:rsidR="00B03DCE">
        <w:t>pres</w:t>
      </w:r>
      <w:r>
        <w:t>cript</w:t>
      </w:r>
      <w:r w:rsidR="00B03DCE">
        <w:t>ions</w:t>
      </w:r>
      <w:r>
        <w:t xml:space="preserve"> and expenditure would have been higher;</w:t>
      </w:r>
    </w:p>
    <w:p w14:paraId="2823FB4C" w14:textId="1D7F264F" w:rsidR="003560E4" w:rsidRPr="003560E4" w:rsidRDefault="007A07A2" w:rsidP="007A07A2">
      <w:pPr>
        <w:pStyle w:val="ListParagraph"/>
        <w:numPr>
          <w:ilvl w:val="0"/>
          <w:numId w:val="4"/>
        </w:numPr>
      </w:pPr>
      <w:r>
        <w:t xml:space="preserve">Patients may </w:t>
      </w:r>
      <w:r w:rsidR="00D51D19">
        <w:t>be on two</w:t>
      </w:r>
      <w:r>
        <w:t xml:space="preserve"> month rather than </w:t>
      </w:r>
      <w:r w:rsidR="00D51D19">
        <w:t>one</w:t>
      </w:r>
      <w:r>
        <w:t xml:space="preserve"> month </w:t>
      </w:r>
      <w:r w:rsidRPr="00A113E3">
        <w:rPr>
          <w:i/>
        </w:rPr>
        <w:t xml:space="preserve">P. </w:t>
      </w:r>
      <w:proofErr w:type="spellStart"/>
      <w:r w:rsidRPr="00A113E3">
        <w:rPr>
          <w:i/>
        </w:rPr>
        <w:t>aeruginosa</w:t>
      </w:r>
      <w:proofErr w:type="spellEnd"/>
      <w:r>
        <w:t xml:space="preserve"> eradication protocols.</w:t>
      </w:r>
    </w:p>
    <w:p w14:paraId="0312FFEC" w14:textId="5C6A9662" w:rsidR="00E677DD" w:rsidRDefault="00E677DD" w:rsidP="00E11A6D">
      <w:pPr>
        <w:pStyle w:val="Heading3"/>
      </w:pPr>
      <w:r w:rsidRPr="005E22C2">
        <w:t>Method</w:t>
      </w:r>
      <w:r w:rsidR="001B5D37" w:rsidRPr="005E22C2">
        <w:t>s</w:t>
      </w:r>
    </w:p>
    <w:p w14:paraId="1285DACD" w14:textId="17337120" w:rsidR="007673E5" w:rsidRDefault="007673E5" w:rsidP="007673E5">
      <w:r>
        <w:t>The</w:t>
      </w:r>
      <w:r w:rsidR="00E43D6D">
        <w:t xml:space="preserve"> Department of Human Services, Medicare</w:t>
      </w:r>
      <w:r>
        <w:t xml:space="preserve"> Supplied Prescriptions Data</w:t>
      </w:r>
      <w:r w:rsidR="00E43D6D">
        <w:t xml:space="preserve">base was used for the analyses.  </w:t>
      </w:r>
      <w:r>
        <w:t xml:space="preserve">The analyses are based on the date of prescription supply unless otherwise stated. </w:t>
      </w:r>
    </w:p>
    <w:p w14:paraId="342798C8" w14:textId="1C48CA55" w:rsidR="007673E5" w:rsidRDefault="007673E5" w:rsidP="007673E5">
      <w:r>
        <w:t xml:space="preserve">The </w:t>
      </w:r>
      <w:r w:rsidR="00432B56">
        <w:t>number of patients was</w:t>
      </w:r>
      <w:r>
        <w:t xml:space="preserve"> determined by counting the number of </w:t>
      </w:r>
      <w:proofErr w:type="spellStart"/>
      <w:r>
        <w:t>deidentified</w:t>
      </w:r>
      <w:proofErr w:type="spellEnd"/>
      <w:r>
        <w:t xml:space="preserve"> patient identification numbers</w:t>
      </w:r>
      <w:r w:rsidR="00185666">
        <w:t xml:space="preserve"> (PINs) in the relevant period.  </w:t>
      </w:r>
      <w:r>
        <w:t>New patients were those receiving their first PBS prescriptions for TSI since the date of listing.</w:t>
      </w:r>
    </w:p>
    <w:p w14:paraId="6E1CEDDF" w14:textId="77777777" w:rsidR="007673E5" w:rsidRDefault="007673E5" w:rsidP="007673E5">
      <w:r>
        <w:t xml:space="preserve">Where patient age is presented, this is the patient’s age at the time of their first TSI prescription. </w:t>
      </w:r>
    </w:p>
    <w:p w14:paraId="66DE6D36" w14:textId="7EA9BAC6" w:rsidR="007673E5" w:rsidRDefault="007673E5" w:rsidP="007673E5">
      <w:r>
        <w:t>The defined daily doses (DDDs) for tobramycin are 300</w:t>
      </w:r>
      <w:r w:rsidR="00F51C7A">
        <w:t xml:space="preserve"> </w:t>
      </w:r>
      <w:r>
        <w:t>mg for TSI and 240</w:t>
      </w:r>
      <w:r w:rsidR="00F51C7A">
        <w:t xml:space="preserve"> </w:t>
      </w:r>
      <w:r>
        <w:t>mg for the injectable form.  The DDD for injectable tobramycin may not be appropriate if this form is nebulised, however for the purposes of this analysis the magnitude of change of injectable tobramycin was the parameter of interest.</w:t>
      </w:r>
    </w:p>
    <w:p w14:paraId="7E108B5A" w14:textId="77777777" w:rsidR="007673E5" w:rsidRPr="004446E3" w:rsidRDefault="007673E5" w:rsidP="007673E5">
      <w:pPr>
        <w:rPr>
          <w:b/>
          <w:i/>
        </w:rPr>
      </w:pPr>
      <w:r w:rsidRPr="004446E3">
        <w:rPr>
          <w:b/>
          <w:i/>
        </w:rPr>
        <w:t>Eradication and chronic treatment</w:t>
      </w:r>
    </w:p>
    <w:p w14:paraId="5BBEFA9F" w14:textId="77777777" w:rsidR="007673E5" w:rsidRDefault="007673E5" w:rsidP="007673E5">
      <w:r>
        <w:t>The following analyses were undertaken to identify treatment patterns of patients using chronic TSI versus those using TSI for eradication protocols:</w:t>
      </w:r>
    </w:p>
    <w:p w14:paraId="48A19A6D" w14:textId="368828F9" w:rsidR="007673E5" w:rsidRDefault="007673E5" w:rsidP="007673E5">
      <w:pPr>
        <w:pStyle w:val="ListParagraph"/>
        <w:numPr>
          <w:ilvl w:val="0"/>
          <w:numId w:val="5"/>
        </w:numPr>
      </w:pPr>
      <w:r>
        <w:t>Number of prescriptions per 12 months by age cohort</w:t>
      </w:r>
    </w:p>
    <w:p w14:paraId="7AAE1A51" w14:textId="1B1CD4E2" w:rsidR="007673E5" w:rsidRDefault="007673E5" w:rsidP="007673E5">
      <w:pPr>
        <w:pStyle w:val="ListParagraph"/>
        <w:numPr>
          <w:ilvl w:val="0"/>
          <w:numId w:val="5"/>
        </w:numPr>
      </w:pPr>
      <w:r>
        <w:lastRenderedPageBreak/>
        <w:t>Time to next dispensing by age cohort</w:t>
      </w:r>
    </w:p>
    <w:p w14:paraId="4642F271" w14:textId="678CCC61" w:rsidR="00254AFE" w:rsidRPr="00254AFE" w:rsidRDefault="008077D3" w:rsidP="007673E5">
      <w:r>
        <w:t xml:space="preserve">The </w:t>
      </w:r>
      <w:r w:rsidR="007673E5">
        <w:t xml:space="preserve">DUSC suggested the Secretariat assess the average age of patients who receive 1, 2, 3, 4 </w:t>
      </w:r>
      <w:r w:rsidR="00432B56">
        <w:t>etc.</w:t>
      </w:r>
      <w:r w:rsidR="007673E5">
        <w:t xml:space="preserve"> pre</w:t>
      </w:r>
      <w:r w:rsidR="00CF0E92">
        <w:t xml:space="preserve">scriptions per 12 month period.  </w:t>
      </w:r>
      <w:r w:rsidR="007673E5">
        <w:t xml:space="preserve">This analysis has not been undertaken for this report due to small patient numbers and the potential for extremes of age to skew average values. </w:t>
      </w:r>
      <w:r w:rsidR="00270427">
        <w:t xml:space="preserve"> </w:t>
      </w:r>
      <w:r w:rsidR="007673E5">
        <w:t xml:space="preserve">Alternatively, the </w:t>
      </w:r>
      <w:r w:rsidR="00432B56">
        <w:t>number of prescriptions per 12 months and time to next prescription analyses has</w:t>
      </w:r>
      <w:r w:rsidR="007673E5">
        <w:t xml:space="preserve"> been presented by age cohorts to help discern between use for era</w:t>
      </w:r>
      <w:r w:rsidR="008476E4">
        <w:t xml:space="preserve">dication and chronic treatment.  </w:t>
      </w:r>
      <w:r w:rsidR="007673E5">
        <w:t xml:space="preserve">The prescriptions per 12 months and time to next dispensing analyses were undertaken for patients who started TSI between October 2011 (listing) and March 2013 inclusive. </w:t>
      </w:r>
      <w:r w:rsidR="00272A13">
        <w:t xml:space="preserve"> </w:t>
      </w:r>
      <w:r w:rsidR="007673E5">
        <w:t xml:space="preserve">These analyses show data for the first 12 months from the start </w:t>
      </w:r>
      <w:r w:rsidR="00DD2061">
        <w:t>of an individual patient’s</w:t>
      </w:r>
      <w:r w:rsidR="00574BCE">
        <w:t xml:space="preserve"> treatment.  </w:t>
      </w:r>
      <w:r w:rsidR="007673E5">
        <w:t>All data analyses were undertaken using SAS.</w:t>
      </w:r>
    </w:p>
    <w:p w14:paraId="4F91A98A" w14:textId="00180E30" w:rsidR="00C714D0" w:rsidRPr="005E22C2" w:rsidRDefault="00C714D0" w:rsidP="00E11A6D">
      <w:pPr>
        <w:pStyle w:val="Heading3"/>
      </w:pPr>
      <w:r w:rsidRPr="005E22C2">
        <w:t>Results</w:t>
      </w:r>
    </w:p>
    <w:p w14:paraId="2221FF19" w14:textId="336CE8B2" w:rsidR="00736041" w:rsidRDefault="001B5D37" w:rsidP="0038097B">
      <w:pPr>
        <w:pStyle w:val="Heading4"/>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09F8A9BC" w14:textId="35E50016" w:rsidR="006A44F5" w:rsidRDefault="00736041" w:rsidP="0038097B">
      <w:pPr>
        <w:pStyle w:val="Heading5"/>
      </w:pPr>
      <w:r w:rsidRPr="005E22C2">
        <w:t>Overall utilisation</w:t>
      </w:r>
    </w:p>
    <w:p w14:paraId="1204B235" w14:textId="77777777" w:rsidR="00AE3518" w:rsidRPr="003803A5" w:rsidRDefault="00AE3518" w:rsidP="00AE3518">
      <w:r w:rsidRPr="003803A5">
        <w:t xml:space="preserve">Table 3 presents the number of patients treated with TSI in the first two years of listing. </w:t>
      </w:r>
    </w:p>
    <w:p w14:paraId="593550C0" w14:textId="77777777" w:rsidR="00AE3518" w:rsidRDefault="00AE3518" w:rsidP="00EF0065">
      <w:pPr>
        <w:pStyle w:val="Tabletitle"/>
        <w:rPr>
          <w:highlight w:val="yellow"/>
        </w:rPr>
      </w:pPr>
      <w:r>
        <w:t>Table 3: Tobramycin patient numbers</w:t>
      </w:r>
    </w:p>
    <w:tbl>
      <w:tblPr>
        <w:tblStyle w:val="TableGrid"/>
        <w:tblW w:w="9173" w:type="dxa"/>
        <w:tblInd w:w="108" w:type="dxa"/>
        <w:tblLook w:val="04A0" w:firstRow="1" w:lastRow="0" w:firstColumn="1" w:lastColumn="0" w:noHBand="0" w:noVBand="1"/>
        <w:tblCaption w:val="Table 3"/>
        <w:tblDescription w:val="The number of patients receiving PBS TSI in the first two years of listing, by listing year."/>
      </w:tblPr>
      <w:tblGrid>
        <w:gridCol w:w="3057"/>
        <w:gridCol w:w="3058"/>
        <w:gridCol w:w="3058"/>
      </w:tblGrid>
      <w:tr w:rsidR="00AE3518" w14:paraId="575D8954" w14:textId="77777777" w:rsidTr="00C5206C">
        <w:trPr>
          <w:tblHeader/>
        </w:trPr>
        <w:tc>
          <w:tcPr>
            <w:tcW w:w="3057" w:type="dxa"/>
            <w:shd w:val="clear" w:color="auto" w:fill="BFBFBF" w:themeFill="background1" w:themeFillShade="BF"/>
          </w:tcPr>
          <w:p w14:paraId="6D67CA1C" w14:textId="77777777" w:rsidR="00AE3518" w:rsidRPr="0034685D" w:rsidRDefault="00AE3518" w:rsidP="0039435B">
            <w:pPr>
              <w:rPr>
                <w:b/>
                <w:sz w:val="20"/>
                <w:szCs w:val="20"/>
              </w:rPr>
            </w:pPr>
          </w:p>
        </w:tc>
        <w:tc>
          <w:tcPr>
            <w:tcW w:w="3058" w:type="dxa"/>
            <w:shd w:val="clear" w:color="auto" w:fill="BFBFBF" w:themeFill="background1" w:themeFillShade="BF"/>
          </w:tcPr>
          <w:p w14:paraId="41C197BF" w14:textId="77777777" w:rsidR="00AE3518" w:rsidRPr="0034685D" w:rsidRDefault="00AE3518" w:rsidP="0039435B">
            <w:pPr>
              <w:jc w:val="center"/>
              <w:rPr>
                <w:b/>
                <w:sz w:val="20"/>
                <w:szCs w:val="20"/>
              </w:rPr>
            </w:pPr>
            <w:r w:rsidRPr="0034685D">
              <w:rPr>
                <w:b/>
                <w:sz w:val="20"/>
                <w:szCs w:val="20"/>
              </w:rPr>
              <w:t>Year 1</w:t>
            </w:r>
          </w:p>
        </w:tc>
        <w:tc>
          <w:tcPr>
            <w:tcW w:w="3058" w:type="dxa"/>
            <w:shd w:val="clear" w:color="auto" w:fill="BFBFBF" w:themeFill="background1" w:themeFillShade="BF"/>
          </w:tcPr>
          <w:p w14:paraId="3AE752BA" w14:textId="77777777" w:rsidR="00AE3518" w:rsidRPr="0034685D" w:rsidRDefault="00AE3518" w:rsidP="0039435B">
            <w:pPr>
              <w:jc w:val="center"/>
              <w:rPr>
                <w:b/>
                <w:sz w:val="20"/>
                <w:szCs w:val="20"/>
              </w:rPr>
            </w:pPr>
            <w:r w:rsidRPr="0034685D">
              <w:rPr>
                <w:b/>
                <w:sz w:val="20"/>
                <w:szCs w:val="20"/>
              </w:rPr>
              <w:t>Year 2</w:t>
            </w:r>
          </w:p>
        </w:tc>
      </w:tr>
      <w:tr w:rsidR="00AE3518" w14:paraId="18CE4C93" w14:textId="77777777" w:rsidTr="00067296">
        <w:tc>
          <w:tcPr>
            <w:tcW w:w="3057" w:type="dxa"/>
          </w:tcPr>
          <w:p w14:paraId="3A6A3A9A" w14:textId="77777777" w:rsidR="00AE3518" w:rsidRPr="0034685D" w:rsidRDefault="00AE3518" w:rsidP="0039435B">
            <w:pPr>
              <w:rPr>
                <w:sz w:val="20"/>
                <w:szCs w:val="20"/>
              </w:rPr>
            </w:pPr>
            <w:r>
              <w:rPr>
                <w:sz w:val="20"/>
                <w:szCs w:val="20"/>
              </w:rPr>
              <w:t>Total patients</w:t>
            </w:r>
          </w:p>
        </w:tc>
        <w:tc>
          <w:tcPr>
            <w:tcW w:w="3058" w:type="dxa"/>
          </w:tcPr>
          <w:p w14:paraId="1856ECAE" w14:textId="77777777" w:rsidR="00AE3518" w:rsidRPr="0034685D" w:rsidRDefault="00AE3518" w:rsidP="0039435B">
            <w:pPr>
              <w:jc w:val="center"/>
              <w:rPr>
                <w:sz w:val="20"/>
                <w:szCs w:val="20"/>
              </w:rPr>
            </w:pPr>
            <w:r>
              <w:rPr>
                <w:sz w:val="20"/>
                <w:szCs w:val="20"/>
              </w:rPr>
              <w:t>1,213</w:t>
            </w:r>
          </w:p>
        </w:tc>
        <w:tc>
          <w:tcPr>
            <w:tcW w:w="3058" w:type="dxa"/>
          </w:tcPr>
          <w:p w14:paraId="59C294AB" w14:textId="77777777" w:rsidR="00AE3518" w:rsidRPr="0034685D" w:rsidRDefault="00AE3518" w:rsidP="0039435B">
            <w:pPr>
              <w:jc w:val="center"/>
              <w:rPr>
                <w:sz w:val="20"/>
                <w:szCs w:val="20"/>
              </w:rPr>
            </w:pPr>
            <w:r>
              <w:rPr>
                <w:sz w:val="20"/>
                <w:szCs w:val="20"/>
              </w:rPr>
              <w:t>1,333</w:t>
            </w:r>
          </w:p>
        </w:tc>
      </w:tr>
      <w:tr w:rsidR="00AE3518" w14:paraId="31E6EB7D" w14:textId="77777777" w:rsidTr="00067296">
        <w:tc>
          <w:tcPr>
            <w:tcW w:w="3057" w:type="dxa"/>
          </w:tcPr>
          <w:p w14:paraId="3D5C5ED2" w14:textId="77777777" w:rsidR="00AE3518" w:rsidRDefault="00AE3518" w:rsidP="0039435B">
            <w:pPr>
              <w:rPr>
                <w:sz w:val="20"/>
                <w:szCs w:val="20"/>
              </w:rPr>
            </w:pPr>
            <w:r>
              <w:rPr>
                <w:sz w:val="20"/>
                <w:szCs w:val="20"/>
              </w:rPr>
              <w:t>Predicted</w:t>
            </w:r>
          </w:p>
        </w:tc>
        <w:tc>
          <w:tcPr>
            <w:tcW w:w="3058" w:type="dxa"/>
            <w:vAlign w:val="bottom"/>
          </w:tcPr>
          <w:p w14:paraId="1BAE79B4" w14:textId="0C3EF317" w:rsidR="00AE3518" w:rsidRPr="00206EC0" w:rsidRDefault="006038A7" w:rsidP="0039435B">
            <w:pPr>
              <w:jc w:val="center"/>
              <w:rPr>
                <w:sz w:val="20"/>
                <w:szCs w:val="20"/>
              </w:rPr>
            </w:pPr>
            <w:r>
              <w:rPr>
                <w:rFonts w:eastAsia="Times New Roman" w:cs="Arial"/>
                <w:snapToGrid w:val="0"/>
                <w:sz w:val="20"/>
                <w:szCs w:val="20"/>
                <w:lang w:eastAsia="en-US"/>
              </w:rPr>
              <w:t>REDACTED</w:t>
            </w:r>
          </w:p>
        </w:tc>
        <w:tc>
          <w:tcPr>
            <w:tcW w:w="3058" w:type="dxa"/>
            <w:vAlign w:val="bottom"/>
          </w:tcPr>
          <w:p w14:paraId="0F7FB8F3" w14:textId="002DE61C" w:rsidR="00AE3518" w:rsidRPr="00206EC0" w:rsidRDefault="006038A7" w:rsidP="0039435B">
            <w:pPr>
              <w:jc w:val="center"/>
              <w:rPr>
                <w:sz w:val="20"/>
                <w:szCs w:val="20"/>
              </w:rPr>
            </w:pPr>
            <w:r>
              <w:rPr>
                <w:rFonts w:eastAsia="Times New Roman" w:cs="Arial"/>
                <w:snapToGrid w:val="0"/>
                <w:sz w:val="20"/>
                <w:szCs w:val="20"/>
                <w:lang w:eastAsia="en-US"/>
              </w:rPr>
              <w:t>REDACTED</w:t>
            </w:r>
          </w:p>
        </w:tc>
      </w:tr>
      <w:tr w:rsidR="00AE3518" w14:paraId="6F506DB6" w14:textId="77777777" w:rsidTr="00067296">
        <w:tc>
          <w:tcPr>
            <w:tcW w:w="3057" w:type="dxa"/>
          </w:tcPr>
          <w:p w14:paraId="02E4F082" w14:textId="77777777" w:rsidR="00AE3518" w:rsidRDefault="00AE3518" w:rsidP="0039435B">
            <w:pPr>
              <w:rPr>
                <w:sz w:val="20"/>
                <w:szCs w:val="20"/>
              </w:rPr>
            </w:pPr>
            <w:r>
              <w:rPr>
                <w:sz w:val="20"/>
                <w:szCs w:val="20"/>
              </w:rPr>
              <w:t>Difference</w:t>
            </w:r>
          </w:p>
        </w:tc>
        <w:tc>
          <w:tcPr>
            <w:tcW w:w="3058" w:type="dxa"/>
            <w:vAlign w:val="bottom"/>
          </w:tcPr>
          <w:p w14:paraId="23EB5364" w14:textId="7C71F744" w:rsidR="00AE3518" w:rsidRPr="00206EC0" w:rsidRDefault="006038A7" w:rsidP="0039435B">
            <w:pPr>
              <w:jc w:val="center"/>
              <w:rPr>
                <w:rFonts w:cs="Arial"/>
                <w:sz w:val="20"/>
                <w:szCs w:val="20"/>
              </w:rPr>
            </w:pPr>
            <w:r>
              <w:rPr>
                <w:rFonts w:eastAsia="Times New Roman" w:cs="Arial"/>
                <w:snapToGrid w:val="0"/>
                <w:sz w:val="20"/>
                <w:szCs w:val="20"/>
                <w:lang w:eastAsia="en-US"/>
              </w:rPr>
              <w:t>REDACTED</w:t>
            </w:r>
            <w:r>
              <w:rPr>
                <w:rFonts w:cs="Arial"/>
                <w:sz w:val="20"/>
                <w:szCs w:val="20"/>
              </w:rPr>
              <w:t xml:space="preserve"> </w:t>
            </w:r>
            <w:r w:rsidR="00AE3518">
              <w:rPr>
                <w:rFonts w:cs="Arial"/>
                <w:sz w:val="20"/>
                <w:szCs w:val="20"/>
              </w:rPr>
              <w:t>%</w:t>
            </w:r>
          </w:p>
        </w:tc>
        <w:tc>
          <w:tcPr>
            <w:tcW w:w="3058" w:type="dxa"/>
            <w:vAlign w:val="bottom"/>
          </w:tcPr>
          <w:p w14:paraId="15EAE499" w14:textId="3A35CDC3" w:rsidR="00AE3518" w:rsidRPr="00206EC0" w:rsidRDefault="006038A7" w:rsidP="0039435B">
            <w:pPr>
              <w:jc w:val="center"/>
              <w:rPr>
                <w:rFonts w:cs="Arial"/>
                <w:sz w:val="20"/>
                <w:szCs w:val="20"/>
              </w:rPr>
            </w:pPr>
            <w:r>
              <w:rPr>
                <w:rFonts w:eastAsia="Times New Roman" w:cs="Arial"/>
                <w:snapToGrid w:val="0"/>
                <w:sz w:val="20"/>
                <w:szCs w:val="20"/>
                <w:lang w:eastAsia="en-US"/>
              </w:rPr>
              <w:t>REDACTED</w:t>
            </w:r>
            <w:r>
              <w:rPr>
                <w:rFonts w:cs="Arial"/>
                <w:sz w:val="20"/>
                <w:szCs w:val="20"/>
              </w:rPr>
              <w:t xml:space="preserve"> </w:t>
            </w:r>
            <w:r w:rsidR="00AE3518">
              <w:rPr>
                <w:rFonts w:cs="Arial"/>
                <w:sz w:val="20"/>
                <w:szCs w:val="20"/>
              </w:rPr>
              <w:t>%</w:t>
            </w:r>
          </w:p>
        </w:tc>
      </w:tr>
      <w:tr w:rsidR="00AE3518" w14:paraId="13F067C8" w14:textId="77777777" w:rsidTr="00067296">
        <w:tc>
          <w:tcPr>
            <w:tcW w:w="3057" w:type="dxa"/>
          </w:tcPr>
          <w:p w14:paraId="4A598919" w14:textId="77777777" w:rsidR="00AE3518" w:rsidRPr="0034685D" w:rsidRDefault="00AE3518" w:rsidP="0039435B">
            <w:pPr>
              <w:rPr>
                <w:sz w:val="20"/>
                <w:szCs w:val="20"/>
              </w:rPr>
            </w:pPr>
            <w:r>
              <w:rPr>
                <w:sz w:val="20"/>
                <w:szCs w:val="20"/>
              </w:rPr>
              <w:t>New patients</w:t>
            </w:r>
          </w:p>
        </w:tc>
        <w:tc>
          <w:tcPr>
            <w:tcW w:w="3058" w:type="dxa"/>
          </w:tcPr>
          <w:p w14:paraId="67ED56A7" w14:textId="77777777" w:rsidR="00AE3518" w:rsidRPr="0034685D" w:rsidRDefault="00AE3518" w:rsidP="0039435B">
            <w:pPr>
              <w:jc w:val="center"/>
              <w:rPr>
                <w:sz w:val="20"/>
                <w:szCs w:val="20"/>
              </w:rPr>
            </w:pPr>
            <w:r>
              <w:rPr>
                <w:sz w:val="20"/>
                <w:szCs w:val="20"/>
              </w:rPr>
              <w:t>1,213</w:t>
            </w:r>
          </w:p>
        </w:tc>
        <w:tc>
          <w:tcPr>
            <w:tcW w:w="3058" w:type="dxa"/>
          </w:tcPr>
          <w:p w14:paraId="172224F4" w14:textId="77777777" w:rsidR="00AE3518" w:rsidRPr="0034685D" w:rsidRDefault="00AE3518" w:rsidP="0039435B">
            <w:pPr>
              <w:jc w:val="center"/>
              <w:rPr>
                <w:sz w:val="20"/>
                <w:szCs w:val="20"/>
              </w:rPr>
            </w:pPr>
            <w:r>
              <w:rPr>
                <w:sz w:val="20"/>
                <w:szCs w:val="20"/>
              </w:rPr>
              <w:t>531</w:t>
            </w:r>
          </w:p>
        </w:tc>
      </w:tr>
    </w:tbl>
    <w:p w14:paraId="08CA0D8B" w14:textId="77777777" w:rsidR="00AE3518" w:rsidRPr="00DA4D9E" w:rsidRDefault="00AE3518" w:rsidP="00EF0065">
      <w:pPr>
        <w:pStyle w:val="Figurecaption"/>
      </w:pPr>
      <w:r>
        <w:t>Source: Department of Human Services Supplied Prescriptions Database, extracted July 2014</w:t>
      </w:r>
    </w:p>
    <w:p w14:paraId="4A765594" w14:textId="334AB0BE" w:rsidR="00AE3518" w:rsidRDefault="00AE3518" w:rsidP="00AE3518">
      <w:r>
        <w:t>The total number of patients treated with tobramycin in the second year of listing w</w:t>
      </w:r>
      <w:r w:rsidR="00873A1D">
        <w:t>as close to what was predicted.</w:t>
      </w:r>
    </w:p>
    <w:p w14:paraId="520F6E13" w14:textId="2954F2A9" w:rsidR="00873A1D" w:rsidRDefault="00873A1D" w:rsidP="00873A1D">
      <w:r>
        <w:t xml:space="preserve">Figure 1 presents the age distribution of patients when they first received TSI on the PBS. </w:t>
      </w:r>
      <w:r w:rsidR="00890CD5">
        <w:t xml:space="preserve"> </w:t>
      </w:r>
      <w:r>
        <w:t xml:space="preserve">The age distribution of CF patients from the Australian Cystic Fibrosis Data Registry in 2012 </w:t>
      </w:r>
      <w:r w:rsidR="00176913">
        <w:t>is also presented</w:t>
      </w:r>
      <w:r>
        <w:t>.</w:t>
      </w:r>
      <w:r w:rsidR="00ED0E66" w:rsidRPr="00ED0E66">
        <w:rPr>
          <w:vertAlign w:val="superscript"/>
        </w:rPr>
        <w:t>2</w:t>
      </w:r>
    </w:p>
    <w:p w14:paraId="34FEC105" w14:textId="77777777" w:rsidR="00873A1D" w:rsidRDefault="00873A1D" w:rsidP="00873A1D">
      <w:pPr>
        <w:rPr>
          <w:rStyle w:val="FigurecaptionChar"/>
        </w:rPr>
      </w:pPr>
      <w:r>
        <w:rPr>
          <w:noProof/>
        </w:rPr>
        <w:lastRenderedPageBreak/>
        <w:drawing>
          <wp:inline distT="0" distB="0" distL="0" distR="0" wp14:anchorId="213B54A1" wp14:editId="4C284117">
            <wp:extent cx="5687695" cy="3331678"/>
            <wp:effectExtent l="0" t="0" r="27305" b="21590"/>
            <wp:docPr id="6" name="Chart 6" descr="Age distribution of female and male patients receiving PBS TSI.  This is compared to the age distribution of theAustralian cystic fibrosis registry population in 2012." title="Figur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Pr>
          <w:rStyle w:val="FiguretitleChar"/>
          <w:rFonts w:asciiTheme="minorHAnsi" w:hAnsiTheme="minorHAnsi"/>
        </w:rPr>
        <w:t>Figure 1: Age distribution of TSI patients</w:t>
      </w:r>
      <w:r>
        <w:rPr>
          <w:rStyle w:val="FiguretitleChar"/>
          <w:rFonts w:asciiTheme="minorHAnsi" w:hAnsiTheme="minorHAnsi"/>
        </w:rPr>
        <w:br/>
      </w:r>
      <w:r w:rsidRPr="004C5090">
        <w:rPr>
          <w:rStyle w:val="FigurecaptionChar"/>
        </w:rPr>
        <w:t>Source: Department of Human Services Supplied Prescriptions Database, extracted July 2014</w:t>
      </w:r>
      <w:r>
        <w:rPr>
          <w:rStyle w:val="FigurecaptionChar"/>
        </w:rPr>
        <w:t xml:space="preserve">. Australia Cystic Fibrosis Registry Report 2012 (Registry population only) </w:t>
      </w:r>
    </w:p>
    <w:p w14:paraId="2C3FA8CC" w14:textId="77777777" w:rsidR="00873A1D" w:rsidRDefault="00873A1D" w:rsidP="00873A1D">
      <w:r>
        <w:t xml:space="preserve">The utilisation of TSI is broadly consistent with the prevalence of CF, noting </w:t>
      </w:r>
      <w:r w:rsidRPr="009B517B">
        <w:rPr>
          <w:i/>
        </w:rPr>
        <w:t xml:space="preserve">P. </w:t>
      </w:r>
      <w:proofErr w:type="spellStart"/>
      <w:r w:rsidRPr="009B517B">
        <w:rPr>
          <w:i/>
        </w:rPr>
        <w:t>aeruginosa</w:t>
      </w:r>
      <w:proofErr w:type="spellEnd"/>
      <w:r>
        <w:t xml:space="preserve"> infection is acquired progressively in childhood.</w:t>
      </w:r>
    </w:p>
    <w:p w14:paraId="22E94642" w14:textId="77777777" w:rsidR="00B45D07" w:rsidRDefault="00F90963" w:rsidP="00E11B83">
      <w:r>
        <w:t>Figure 2 presents the number of prescri</w:t>
      </w:r>
      <w:r w:rsidR="00AF72FF">
        <w:t>ptions and quantity supplied.</w:t>
      </w:r>
    </w:p>
    <w:p w14:paraId="7062753C" w14:textId="17A9BF4A" w:rsidR="00F90963" w:rsidRDefault="00F90963" w:rsidP="00E11B83">
      <w:pPr>
        <w:rPr>
          <w:b/>
        </w:rPr>
      </w:pPr>
      <w:r w:rsidRPr="006631E2">
        <w:rPr>
          <w:i/>
          <w:noProof/>
        </w:rPr>
        <w:drawing>
          <wp:inline distT="0" distB="0" distL="0" distR="0" wp14:anchorId="6A5F435B" wp14:editId="7D381E76">
            <wp:extent cx="5603358" cy="2987749"/>
            <wp:effectExtent l="0" t="0" r="16510" b="22225"/>
            <wp:docPr id="3" name="Chart 3" title="Figure 2: number of prescriptions and quantity of vials of TSI supplied in the first two years of PBS list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6631E2">
        <w:t xml:space="preserve"> </w:t>
      </w:r>
      <w:r w:rsidRPr="006631E2">
        <w:rPr>
          <w:rStyle w:val="FiguretitleChar"/>
          <w:rFonts w:asciiTheme="minorHAnsi" w:hAnsiTheme="minorHAnsi"/>
        </w:rPr>
        <w:t xml:space="preserve">Figure </w:t>
      </w:r>
      <w:r>
        <w:rPr>
          <w:rStyle w:val="FiguretitleChar"/>
          <w:rFonts w:asciiTheme="minorHAnsi" w:hAnsiTheme="minorHAnsi"/>
        </w:rPr>
        <w:t>2</w:t>
      </w:r>
      <w:r w:rsidRPr="006631E2">
        <w:rPr>
          <w:rStyle w:val="FiguretitleChar"/>
          <w:rFonts w:asciiTheme="minorHAnsi" w:hAnsiTheme="minorHAnsi"/>
        </w:rPr>
        <w:t xml:space="preserve">: </w:t>
      </w:r>
      <w:r>
        <w:rPr>
          <w:rStyle w:val="FiguretitleChar"/>
          <w:rFonts w:asciiTheme="minorHAnsi" w:hAnsiTheme="minorHAnsi"/>
        </w:rPr>
        <w:t>Prescriptions and Vials Supplied</w:t>
      </w:r>
      <w:r w:rsidRPr="006631E2">
        <w:rPr>
          <w:rStyle w:val="FiguretitleChar"/>
          <w:rFonts w:asciiTheme="minorHAnsi" w:hAnsiTheme="minorHAnsi"/>
        </w:rPr>
        <w:br/>
      </w:r>
      <w:r w:rsidRPr="006631E2">
        <w:rPr>
          <w:rStyle w:val="FigurecaptionChar"/>
        </w:rPr>
        <w:t xml:space="preserve">Source: Department of Human Services Supplied Prescriptions Database, extracted July 2014. </w:t>
      </w:r>
    </w:p>
    <w:p w14:paraId="0C3863F4" w14:textId="77777777" w:rsidR="00F90963" w:rsidRDefault="00F90963" w:rsidP="00F90963">
      <w:r>
        <w:lastRenderedPageBreak/>
        <w:t xml:space="preserve">The number of prescriptions and vials of TSI supplied appear to have peaked at the end of 2012 and remained steady.  The relative increase and subsequent decrease in use at the end and then start of the calendar year is due to the impact of the safety net. </w:t>
      </w:r>
    </w:p>
    <w:p w14:paraId="7E70C9B0" w14:textId="77777777" w:rsidR="00BC2A8D" w:rsidRPr="006D6B32" w:rsidRDefault="00BC2A8D" w:rsidP="00BC2A8D">
      <w:pPr>
        <w:pStyle w:val="Heading5"/>
      </w:pPr>
      <w:r>
        <w:t>Patterns of use</w:t>
      </w:r>
    </w:p>
    <w:p w14:paraId="47F66643" w14:textId="28B79345" w:rsidR="00BC2A8D" w:rsidRDefault="003356FA" w:rsidP="00BC2A8D">
      <w:r>
        <w:t>F</w:t>
      </w:r>
      <w:r w:rsidR="00BC2A8D">
        <w:t xml:space="preserve">igure </w:t>
      </w:r>
      <w:r>
        <w:t xml:space="preserve">3 </w:t>
      </w:r>
      <w:r w:rsidR="00BC2A8D">
        <w:t xml:space="preserve">presents the number of prescriptions per patient in their first 12 months by age cohort. </w:t>
      </w:r>
      <w:r w:rsidR="00FB21AE">
        <w:t xml:space="preserve"> </w:t>
      </w:r>
      <w:r w:rsidR="00BC2A8D">
        <w:t xml:space="preserve">All patients included in this analysis had at least 12 months follow-up since their first prescription. </w:t>
      </w:r>
    </w:p>
    <w:p w14:paraId="6E5C7332" w14:textId="77777777" w:rsidR="00A74799" w:rsidRDefault="00A74799" w:rsidP="00A74799">
      <w:pPr>
        <w:rPr>
          <w:rStyle w:val="FigurecaptionChar"/>
        </w:rPr>
      </w:pPr>
      <w:r>
        <w:rPr>
          <w:noProof/>
        </w:rPr>
        <w:drawing>
          <wp:inline distT="0" distB="0" distL="0" distR="0" wp14:anchorId="211B411A" wp14:editId="3F0FFDB9">
            <wp:extent cx="5547995" cy="3162300"/>
            <wp:effectExtent l="0" t="0" r="14605" b="19050"/>
            <wp:docPr id="4" name="Chart 4" descr="The figure illustrates the number of prescriptions for TSI per patient in their first 12 months of treatment, by age." title="Figur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br/>
      </w:r>
      <w:r w:rsidRPr="006D6B32">
        <w:rPr>
          <w:rStyle w:val="FiguretitleChar"/>
          <w:rFonts w:asciiTheme="minorHAnsi" w:hAnsiTheme="minorHAnsi"/>
        </w:rPr>
        <w:t xml:space="preserve">Figure </w:t>
      </w:r>
      <w:r>
        <w:rPr>
          <w:rStyle w:val="FiguretitleChar"/>
          <w:rFonts w:asciiTheme="minorHAnsi" w:hAnsiTheme="minorHAnsi"/>
        </w:rPr>
        <w:t>3</w:t>
      </w:r>
      <w:r w:rsidRPr="006D6B32">
        <w:rPr>
          <w:rStyle w:val="FiguretitleChar"/>
          <w:rFonts w:asciiTheme="minorHAnsi" w:hAnsiTheme="minorHAnsi"/>
        </w:rPr>
        <w:t xml:space="preserve">: </w:t>
      </w:r>
      <w:r>
        <w:rPr>
          <w:rStyle w:val="FiguretitleChar"/>
          <w:rFonts w:asciiTheme="minorHAnsi" w:hAnsiTheme="minorHAnsi"/>
        </w:rPr>
        <w:t>Prescriptions per patient over 12 months</w:t>
      </w:r>
      <w:r w:rsidRPr="006631E2">
        <w:rPr>
          <w:rStyle w:val="FiguretitleChar"/>
          <w:rFonts w:asciiTheme="minorHAnsi" w:hAnsiTheme="minorHAnsi"/>
          <w:i/>
        </w:rPr>
        <w:br/>
      </w:r>
      <w:r w:rsidRPr="006D6B32">
        <w:rPr>
          <w:rStyle w:val="FigurecaptionChar"/>
        </w:rPr>
        <w:t>Source: Department of Human Services Supplied Prescriptions Database, extracted July 2014.</w:t>
      </w:r>
    </w:p>
    <w:p w14:paraId="6BBC2E83" w14:textId="0CE54166" w:rsidR="00A74799" w:rsidRDefault="00A74799" w:rsidP="00A74799">
      <w:r>
        <w:t xml:space="preserve">The majority of patients under 10 years receive one to three supplies over 12 months. </w:t>
      </w:r>
      <w:r w:rsidR="00EB7D33">
        <w:t xml:space="preserve"> </w:t>
      </w:r>
      <w:r>
        <w:t xml:space="preserve">This appears consistent with one to three month eradication protocols. A similar pattern is also evident for patients aged 10-14 years. </w:t>
      </w:r>
      <w:r w:rsidR="00D75E15">
        <w:t xml:space="preserve"> </w:t>
      </w:r>
      <w:r>
        <w:t>There is no clear pattern of treatment for patients aged 15 years and older and only 8.1</w:t>
      </w:r>
      <w:r w:rsidR="00D75E15">
        <w:t xml:space="preserve"> </w:t>
      </w:r>
      <w:r>
        <w:t>% of patients received seven or more</w:t>
      </w:r>
      <w:r w:rsidR="001D0BFA">
        <w:t xml:space="preserve"> prescriptions over 12 months.  </w:t>
      </w:r>
      <w:r>
        <w:t xml:space="preserve">The average number of prescriptions per year was similar across the three age cohorts with an average of 3.2 prescriptions per year for patients aged 0-9 </w:t>
      </w:r>
      <w:r w:rsidR="00FC357E">
        <w:t>years and 15</w:t>
      </w:r>
      <w:r w:rsidR="006E2540">
        <w:t xml:space="preserve"> and over</w:t>
      </w:r>
      <w:r>
        <w:t xml:space="preserve">, and 3.3 prescriptions per year for patients 10-14 years. </w:t>
      </w:r>
    </w:p>
    <w:p w14:paraId="2D514044" w14:textId="77777777" w:rsidR="00A74799" w:rsidRDefault="00A74799" w:rsidP="00A74799">
      <w:r>
        <w:t xml:space="preserve">Figure 4 presents the time to next prescription data by age cohort. </w:t>
      </w:r>
    </w:p>
    <w:p w14:paraId="4065B336" w14:textId="77777777" w:rsidR="00D6651E" w:rsidRDefault="00D6651E" w:rsidP="00D6651E">
      <w:r>
        <w:rPr>
          <w:noProof/>
        </w:rPr>
        <w:lastRenderedPageBreak/>
        <w:drawing>
          <wp:inline distT="0" distB="0" distL="0" distR="0" wp14:anchorId="7700E383" wp14:editId="2D09443F">
            <wp:extent cx="5549900" cy="2945130"/>
            <wp:effectExtent l="0" t="0" r="12700" b="26670"/>
            <wp:docPr id="5" name="Chart 5" title="Figure 4: time to next dispensing by age cohort."/>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br/>
      </w:r>
      <w:r w:rsidRPr="006D6B32">
        <w:rPr>
          <w:rStyle w:val="FiguretitleChar"/>
          <w:rFonts w:asciiTheme="minorHAnsi" w:hAnsiTheme="minorHAnsi"/>
        </w:rPr>
        <w:t xml:space="preserve">Figure </w:t>
      </w:r>
      <w:r>
        <w:rPr>
          <w:rStyle w:val="FiguretitleChar"/>
          <w:rFonts w:asciiTheme="minorHAnsi" w:hAnsiTheme="minorHAnsi"/>
        </w:rPr>
        <w:t>4</w:t>
      </w:r>
      <w:r w:rsidRPr="006D6B32">
        <w:rPr>
          <w:rStyle w:val="FiguretitleChar"/>
          <w:rFonts w:asciiTheme="minorHAnsi" w:hAnsiTheme="minorHAnsi"/>
        </w:rPr>
        <w:t xml:space="preserve">: </w:t>
      </w:r>
      <w:r>
        <w:rPr>
          <w:rStyle w:val="FiguretitleChar"/>
          <w:rFonts w:asciiTheme="minorHAnsi" w:hAnsiTheme="minorHAnsi"/>
        </w:rPr>
        <w:t>Time to next dispensing by age cohort</w:t>
      </w:r>
      <w:r w:rsidRPr="006631E2">
        <w:rPr>
          <w:rStyle w:val="FiguretitleChar"/>
          <w:rFonts w:asciiTheme="minorHAnsi" w:hAnsiTheme="minorHAnsi"/>
          <w:i/>
        </w:rPr>
        <w:br/>
      </w:r>
      <w:r w:rsidRPr="006D6B32">
        <w:rPr>
          <w:rStyle w:val="FigurecaptionChar"/>
        </w:rPr>
        <w:t>Source: Department of Human Services Supplied Prescriptions Database, extracted July 2014.</w:t>
      </w:r>
    </w:p>
    <w:p w14:paraId="1898EF05" w14:textId="7C0E8A8E" w:rsidR="00D6651E" w:rsidRDefault="00D6651E" w:rsidP="00D6651E">
      <w:r>
        <w:t>There is a large proportion of same day supply for TSI, accounting for 6.8</w:t>
      </w:r>
      <w:r w:rsidR="00227932">
        <w:t xml:space="preserve"> </w:t>
      </w:r>
      <w:r>
        <w:t>% of all repeat prescriptions.  For prescriptions dispensed up to 31 December 2013, less than 1</w:t>
      </w:r>
      <w:r w:rsidR="00227932">
        <w:t xml:space="preserve"> </w:t>
      </w:r>
      <w:r>
        <w:t xml:space="preserve">% of supplies were for higher maximum quantities. </w:t>
      </w:r>
      <w:r w:rsidR="0035022F">
        <w:t xml:space="preserve"> </w:t>
      </w:r>
      <w:r>
        <w:t xml:space="preserve">The majority of these were Regulation 24 prescriptions where the repeats were dispensed on the same day. </w:t>
      </w:r>
    </w:p>
    <w:p w14:paraId="3E164279" w14:textId="3FC24401" w:rsidR="00D6651E" w:rsidRDefault="00D6651E" w:rsidP="00D6651E">
      <w:r>
        <w:t>There is a large peak for patients aged 0-9</w:t>
      </w:r>
      <w:r w:rsidR="008D77B2">
        <w:t xml:space="preserve"> </w:t>
      </w:r>
      <w:r>
        <w:t xml:space="preserve">years around one month, likely to be indicative of eradication regimens. </w:t>
      </w:r>
      <w:r w:rsidR="00FD0424">
        <w:t xml:space="preserve"> </w:t>
      </w:r>
      <w:r>
        <w:t>There are peaks at around one and two months for both patients aged 10-14 ye</w:t>
      </w:r>
      <w:r w:rsidR="00A77F21">
        <w:t xml:space="preserve">ars and patients 15 </w:t>
      </w:r>
      <w:r w:rsidR="009E3349">
        <w:t>and over</w:t>
      </w:r>
      <w:r w:rsidR="00A77F21">
        <w:t>.</w:t>
      </w:r>
    </w:p>
    <w:p w14:paraId="7A148BB6" w14:textId="77777777" w:rsidR="00F11F0C" w:rsidRPr="005E22C2" w:rsidRDefault="00F11F0C" w:rsidP="000A63DC">
      <w:pPr>
        <w:pStyle w:val="Heading5"/>
      </w:pPr>
      <w:r w:rsidRPr="005E22C2">
        <w:t xml:space="preserve">Changes in the use of </w:t>
      </w:r>
      <w:r>
        <w:t>injectable tobramycin</w:t>
      </w:r>
    </w:p>
    <w:p w14:paraId="0140B24B" w14:textId="3AED7490" w:rsidR="00F11F0C" w:rsidRPr="00356065" w:rsidRDefault="00F11F0C" w:rsidP="00F11F0C">
      <w:r>
        <w:t xml:space="preserve">Figure 5 presents the number of prescriptions and DDDs of </w:t>
      </w:r>
      <w:r w:rsidRPr="00117886">
        <w:rPr>
          <w:u w:val="single"/>
        </w:rPr>
        <w:t>injectable</w:t>
      </w:r>
      <w:r>
        <w:t xml:space="preserve"> tobramycin</w:t>
      </w:r>
      <w:r w:rsidR="001E2103">
        <w:t xml:space="preserve"> supplied on the PBS.</w:t>
      </w:r>
    </w:p>
    <w:p w14:paraId="2A048D63" w14:textId="77777777" w:rsidR="00F11F0C" w:rsidRPr="00FE645A" w:rsidRDefault="00F11F0C" w:rsidP="00F11F0C">
      <w:pPr>
        <w:pStyle w:val="Figuretitle"/>
      </w:pPr>
      <w:r>
        <w:rPr>
          <w:noProof/>
          <w:lang w:val="en-AU"/>
        </w:rPr>
        <w:lastRenderedPageBreak/>
        <w:drawing>
          <wp:inline distT="0" distB="0" distL="0" distR="0" wp14:anchorId="2B24A00E" wp14:editId="0C2CED42">
            <wp:extent cx="5600087" cy="3421117"/>
            <wp:effectExtent l="0" t="0" r="19685" b="27305"/>
            <wp:docPr id="1" name="Chart 1" descr="Total PBS supply of tobramycin before and after listing of TSI.  The injectable tobramycin defined daily dose is used." title="Figur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E645A">
        <w:t xml:space="preserve">Figure </w:t>
      </w:r>
      <w:r>
        <w:t>5: Total PBS supply of injectable tobramycin</w:t>
      </w:r>
    </w:p>
    <w:p w14:paraId="0BB0D3E7" w14:textId="0E538D82" w:rsidR="00F11F0C" w:rsidRDefault="00F11F0C" w:rsidP="00F11F0C">
      <w:pPr>
        <w:pStyle w:val="Figurecaption"/>
      </w:pPr>
      <w:r>
        <w:t xml:space="preserve">Source: DUSC Database, extracted </w:t>
      </w:r>
      <w:r w:rsidRPr="00A42361">
        <w:t xml:space="preserve">July 2014 </w:t>
      </w:r>
      <w:r>
        <w:rPr>
          <w:highlight w:val="yellow"/>
        </w:rPr>
        <w:br/>
      </w:r>
      <w:r w:rsidRPr="00356065">
        <w:t xml:space="preserve">Note: The DDD for the tobramycin injection is </w:t>
      </w:r>
      <w:r w:rsidR="00F33D4F">
        <w:t>240</w:t>
      </w:r>
      <w:r w:rsidR="00A85250">
        <w:t xml:space="preserve"> </w:t>
      </w:r>
      <w:r w:rsidR="00F33D4F">
        <w:t xml:space="preserve">mg.  </w:t>
      </w:r>
      <w:r>
        <w:t>This is lower than the DDD for TSI (300</w:t>
      </w:r>
      <w:r w:rsidR="003B066C">
        <w:t xml:space="preserve"> </w:t>
      </w:r>
      <w:r>
        <w:t>mg)</w:t>
      </w:r>
    </w:p>
    <w:p w14:paraId="19BE0818" w14:textId="77777777" w:rsidR="00F11F0C" w:rsidRDefault="00F11F0C" w:rsidP="00F11F0C">
      <w:pPr>
        <w:pStyle w:val="Figurecaption"/>
        <w:rPr>
          <w:highlight w:val="yellow"/>
        </w:rPr>
      </w:pPr>
    </w:p>
    <w:p w14:paraId="2A494145" w14:textId="77777777" w:rsidR="00F11F0C" w:rsidRDefault="00F11F0C" w:rsidP="00F11F0C">
      <w:r>
        <w:t xml:space="preserve">Figure 5 shows the total amount of tobramycin supplied on the PBS, in terms of prescriptions and DDDs have decreased since the listing of TSI. </w:t>
      </w:r>
    </w:p>
    <w:p w14:paraId="5759CD44" w14:textId="55801C5A" w:rsidR="00F11F0C" w:rsidRPr="00E17532" w:rsidRDefault="00F11F0C" w:rsidP="00F11F0C">
      <w:r>
        <w:t>The application of the W</w:t>
      </w:r>
      <w:r w:rsidR="00DE75A5">
        <w:t xml:space="preserve">orld </w:t>
      </w:r>
      <w:r>
        <w:t>H</w:t>
      </w:r>
      <w:r w:rsidR="00DE75A5">
        <w:t xml:space="preserve">ealth </w:t>
      </w:r>
      <w:r>
        <w:t>O</w:t>
      </w:r>
      <w:r w:rsidR="00DE75A5">
        <w:t>rganisation</w:t>
      </w:r>
      <w:r>
        <w:t xml:space="preserve"> DDD for injectable tobramycin (240</w:t>
      </w:r>
      <w:r w:rsidR="00A85250">
        <w:t xml:space="preserve"> </w:t>
      </w:r>
      <w:r>
        <w:t xml:space="preserve">mg) may not be ideal for the proportion of injectable tobramycin that is inhaled. </w:t>
      </w:r>
      <w:r w:rsidR="001328FB">
        <w:t xml:space="preserve"> </w:t>
      </w:r>
      <w:r>
        <w:t>However it is considered reasonable for the purposes of comparing use before and after PBS listing of TSI.</w:t>
      </w:r>
    </w:p>
    <w:p w14:paraId="5F22B4D8" w14:textId="319090EA" w:rsidR="00736041" w:rsidRDefault="00D151EB" w:rsidP="00E55D60">
      <w:pPr>
        <w:pStyle w:val="Heading4"/>
      </w:pPr>
      <w:r>
        <w:t xml:space="preserve">Analysis </w:t>
      </w:r>
      <w:r w:rsidR="00C0076F" w:rsidRPr="005E22C2">
        <w:t xml:space="preserve">of </w:t>
      </w:r>
      <w:r w:rsidR="0063631C">
        <w:t>a</w:t>
      </w:r>
      <w:r w:rsidR="00C0076F" w:rsidRPr="005E22C2">
        <w:t xml:space="preserve">ctual versus </w:t>
      </w:r>
      <w:r w:rsidR="0063631C">
        <w:t>p</w:t>
      </w:r>
      <w:r w:rsidR="00C0076F" w:rsidRPr="005E22C2">
        <w:t xml:space="preserve">redicted </w:t>
      </w:r>
      <w:r w:rsidR="0063631C">
        <w:t>u</w:t>
      </w:r>
      <w:r w:rsidR="00C0076F" w:rsidRPr="005E22C2">
        <w:t>tilisation</w:t>
      </w:r>
    </w:p>
    <w:p w14:paraId="33F16DBA" w14:textId="2171C8D4" w:rsidR="00524F7B" w:rsidRDefault="00524F7B" w:rsidP="00524F7B">
      <w:r w:rsidRPr="00BD1644">
        <w:t xml:space="preserve">Table </w:t>
      </w:r>
      <w:r>
        <w:t>4</w:t>
      </w:r>
      <w:r w:rsidRPr="00BD1644">
        <w:t xml:space="preserve"> presents </w:t>
      </w:r>
      <w:proofErr w:type="gramStart"/>
      <w:r w:rsidRPr="00BD1644">
        <w:t>an</w:t>
      </w:r>
      <w:proofErr w:type="gramEnd"/>
      <w:r w:rsidRPr="00BD1644">
        <w:t xml:space="preserve"> overview of predicated ver</w:t>
      </w:r>
      <w:r w:rsidR="001824A3">
        <w:t xml:space="preserve">sus actual utilisation for TSI.  </w:t>
      </w:r>
      <w:r>
        <w:t>The resul</w:t>
      </w:r>
      <w:r w:rsidR="004C6913">
        <w:t xml:space="preserve">ts presented are based on </w:t>
      </w:r>
      <w:r>
        <w:t>date</w:t>
      </w:r>
      <w:r w:rsidR="004C6913">
        <w:t xml:space="preserve"> of supply.  </w:t>
      </w:r>
      <w:r>
        <w:t xml:space="preserve">As a result, </w:t>
      </w:r>
      <w:r w:rsidRPr="00124A5D">
        <w:t>there may be small differences between publi</w:t>
      </w:r>
      <w:r w:rsidR="00A01B35">
        <w:t>cly available DHS Medicare</w:t>
      </w:r>
      <w:r w:rsidRPr="00124A5D">
        <w:t xml:space="preserve"> </w:t>
      </w:r>
      <w:proofErr w:type="gramStart"/>
      <w:r w:rsidRPr="00124A5D">
        <w:t>date</w:t>
      </w:r>
      <w:proofErr w:type="gramEnd"/>
      <w:r w:rsidRPr="00124A5D">
        <w:t xml:space="preserve"> of processing data.</w:t>
      </w:r>
      <w:r w:rsidRPr="002F61CA">
        <w:t xml:space="preserve">  </w:t>
      </w:r>
      <w:r>
        <w:t>The Department of Health uses date of processing data for the managem</w:t>
      </w:r>
      <w:r w:rsidR="00A76E21">
        <w:t>ent of risk-share arrangements.</w:t>
      </w:r>
    </w:p>
    <w:p w14:paraId="500B51CF" w14:textId="77777777" w:rsidR="00524F7B" w:rsidRPr="00BD1644" w:rsidRDefault="00524F7B" w:rsidP="00524F7B">
      <w:pPr>
        <w:pStyle w:val="Tableheading"/>
        <w:jc w:val="left"/>
      </w:pPr>
      <w:r>
        <w:t>Table 4: Predicted versus actual utilisation</w:t>
      </w:r>
    </w:p>
    <w:tbl>
      <w:tblPr>
        <w:tblStyle w:val="TableGrid"/>
        <w:tblW w:w="5000" w:type="pct"/>
        <w:tblInd w:w="108" w:type="dxa"/>
        <w:tblLook w:val="04A0" w:firstRow="1" w:lastRow="0" w:firstColumn="1" w:lastColumn="0" w:noHBand="0" w:noVBand="1"/>
        <w:tblCaption w:val="Table 4 "/>
        <w:tblDescription w:val="Predicted versus actual utilisation of TSI"/>
      </w:tblPr>
      <w:tblGrid>
        <w:gridCol w:w="3950"/>
        <w:gridCol w:w="2855"/>
        <w:gridCol w:w="2368"/>
      </w:tblGrid>
      <w:tr w:rsidR="00524F7B" w:rsidRPr="00BD1644" w14:paraId="2C541A78" w14:textId="77777777" w:rsidTr="00325BAB">
        <w:trPr>
          <w:trHeight w:val="300"/>
          <w:tblHeader/>
        </w:trPr>
        <w:tc>
          <w:tcPr>
            <w:tcW w:w="2153" w:type="pct"/>
            <w:shd w:val="clear" w:color="auto" w:fill="BFBFBF" w:themeFill="background1" w:themeFillShade="BF"/>
            <w:noWrap/>
            <w:vAlign w:val="center"/>
            <w:hideMark/>
          </w:tcPr>
          <w:p w14:paraId="5D4E58D9" w14:textId="77777777" w:rsidR="00524F7B" w:rsidRPr="00BD1644" w:rsidRDefault="00524F7B" w:rsidP="0039435B">
            <w:pPr>
              <w:rPr>
                <w:b/>
                <w:sz w:val="20"/>
                <w:szCs w:val="20"/>
              </w:rPr>
            </w:pPr>
          </w:p>
        </w:tc>
        <w:tc>
          <w:tcPr>
            <w:tcW w:w="1556" w:type="pct"/>
            <w:shd w:val="clear" w:color="auto" w:fill="BFBFBF" w:themeFill="background1" w:themeFillShade="BF"/>
            <w:noWrap/>
            <w:vAlign w:val="center"/>
            <w:hideMark/>
          </w:tcPr>
          <w:p w14:paraId="21B37731" w14:textId="77777777" w:rsidR="00524F7B" w:rsidRPr="00BD1644" w:rsidRDefault="00524F7B" w:rsidP="0039435B">
            <w:pPr>
              <w:jc w:val="center"/>
              <w:rPr>
                <w:b/>
                <w:sz w:val="20"/>
                <w:szCs w:val="20"/>
              </w:rPr>
            </w:pPr>
            <w:r w:rsidRPr="00BD1644">
              <w:rPr>
                <w:b/>
                <w:sz w:val="20"/>
                <w:szCs w:val="20"/>
              </w:rPr>
              <w:t>Year 1</w:t>
            </w:r>
          </w:p>
        </w:tc>
        <w:tc>
          <w:tcPr>
            <w:tcW w:w="1291" w:type="pct"/>
            <w:shd w:val="clear" w:color="auto" w:fill="BFBFBF" w:themeFill="background1" w:themeFillShade="BF"/>
            <w:noWrap/>
            <w:vAlign w:val="center"/>
            <w:hideMark/>
          </w:tcPr>
          <w:p w14:paraId="7CF05E07" w14:textId="77777777" w:rsidR="00524F7B" w:rsidRPr="00BD1644" w:rsidRDefault="00524F7B" w:rsidP="0039435B">
            <w:pPr>
              <w:jc w:val="center"/>
              <w:rPr>
                <w:b/>
                <w:sz w:val="20"/>
                <w:szCs w:val="20"/>
              </w:rPr>
            </w:pPr>
            <w:r w:rsidRPr="00BD1644">
              <w:rPr>
                <w:b/>
                <w:sz w:val="20"/>
                <w:szCs w:val="20"/>
              </w:rPr>
              <w:t>Year 2</w:t>
            </w:r>
          </w:p>
        </w:tc>
      </w:tr>
      <w:tr w:rsidR="00651D69" w:rsidRPr="00BD1644" w14:paraId="53CD4322" w14:textId="77777777" w:rsidTr="00325BAB">
        <w:trPr>
          <w:trHeight w:val="300"/>
        </w:trPr>
        <w:tc>
          <w:tcPr>
            <w:tcW w:w="2153" w:type="pct"/>
            <w:shd w:val="clear" w:color="auto" w:fill="auto"/>
            <w:noWrap/>
            <w:vAlign w:val="center"/>
          </w:tcPr>
          <w:p w14:paraId="1070C982" w14:textId="77777777" w:rsidR="00651D69" w:rsidRPr="00BD1644" w:rsidRDefault="00651D69" w:rsidP="0039435B">
            <w:pPr>
              <w:rPr>
                <w:b/>
                <w:sz w:val="20"/>
                <w:szCs w:val="20"/>
              </w:rPr>
            </w:pPr>
            <w:r>
              <w:rPr>
                <w:b/>
                <w:sz w:val="20"/>
                <w:szCs w:val="20"/>
              </w:rPr>
              <w:t>Patients</w:t>
            </w:r>
          </w:p>
        </w:tc>
        <w:tc>
          <w:tcPr>
            <w:tcW w:w="1556" w:type="pct"/>
            <w:shd w:val="clear" w:color="auto" w:fill="auto"/>
            <w:vAlign w:val="center"/>
          </w:tcPr>
          <w:p w14:paraId="51EF48D5" w14:textId="2F0EDD61" w:rsidR="00651D69" w:rsidRPr="00651D69" w:rsidRDefault="00651D69" w:rsidP="00651D69">
            <w:pPr>
              <w:jc w:val="center"/>
              <w:rPr>
                <w:b/>
                <w:sz w:val="20"/>
                <w:szCs w:val="20"/>
              </w:rPr>
            </w:pPr>
            <w:r>
              <w:rPr>
                <w:b/>
                <w:sz w:val="20"/>
                <w:szCs w:val="20"/>
              </w:rPr>
              <w:t>Patients</w:t>
            </w:r>
          </w:p>
        </w:tc>
        <w:tc>
          <w:tcPr>
            <w:tcW w:w="1291" w:type="pct"/>
            <w:shd w:val="clear" w:color="auto" w:fill="auto"/>
          </w:tcPr>
          <w:p w14:paraId="31884509" w14:textId="684F9BD1" w:rsidR="00651D69" w:rsidRPr="00BD1644" w:rsidRDefault="00651D69" w:rsidP="00651D69">
            <w:pPr>
              <w:jc w:val="center"/>
              <w:rPr>
                <w:b/>
                <w:sz w:val="20"/>
                <w:szCs w:val="20"/>
              </w:rPr>
            </w:pPr>
            <w:r>
              <w:rPr>
                <w:b/>
                <w:sz w:val="20"/>
                <w:szCs w:val="20"/>
              </w:rPr>
              <w:t>Patients</w:t>
            </w:r>
          </w:p>
        </w:tc>
      </w:tr>
      <w:tr w:rsidR="00524F7B" w:rsidRPr="00BD1644" w14:paraId="7CA53DD5" w14:textId="77777777" w:rsidTr="00325BAB">
        <w:trPr>
          <w:trHeight w:val="300"/>
        </w:trPr>
        <w:tc>
          <w:tcPr>
            <w:tcW w:w="2153" w:type="pct"/>
            <w:shd w:val="clear" w:color="auto" w:fill="auto"/>
            <w:noWrap/>
            <w:vAlign w:val="center"/>
          </w:tcPr>
          <w:p w14:paraId="04955987" w14:textId="77777777" w:rsidR="00524F7B" w:rsidRPr="00A603B5" w:rsidRDefault="00524F7B" w:rsidP="0039435B">
            <w:pPr>
              <w:rPr>
                <w:sz w:val="20"/>
                <w:szCs w:val="20"/>
              </w:rPr>
            </w:pPr>
            <w:r w:rsidRPr="00A603B5">
              <w:rPr>
                <w:sz w:val="20"/>
                <w:szCs w:val="20"/>
              </w:rPr>
              <w:t>Predicted</w:t>
            </w:r>
          </w:p>
        </w:tc>
        <w:tc>
          <w:tcPr>
            <w:tcW w:w="1556" w:type="pct"/>
            <w:shd w:val="clear" w:color="auto" w:fill="auto"/>
            <w:noWrap/>
            <w:vAlign w:val="center"/>
          </w:tcPr>
          <w:p w14:paraId="70985247" w14:textId="74B5A615" w:rsidR="00524F7B" w:rsidRPr="00A603B5" w:rsidRDefault="008D1946" w:rsidP="0039435B">
            <w:pPr>
              <w:jc w:val="center"/>
              <w:rPr>
                <w:sz w:val="20"/>
                <w:szCs w:val="20"/>
              </w:rPr>
            </w:pPr>
            <w:r>
              <w:rPr>
                <w:rFonts w:eastAsia="Times New Roman" w:cs="Arial"/>
                <w:snapToGrid w:val="0"/>
                <w:sz w:val="20"/>
                <w:szCs w:val="20"/>
                <w:lang w:eastAsia="en-US"/>
              </w:rPr>
              <w:t>REDACTED</w:t>
            </w:r>
          </w:p>
        </w:tc>
        <w:tc>
          <w:tcPr>
            <w:tcW w:w="1291" w:type="pct"/>
            <w:shd w:val="clear" w:color="auto" w:fill="auto"/>
            <w:noWrap/>
            <w:vAlign w:val="center"/>
          </w:tcPr>
          <w:p w14:paraId="1E995D83" w14:textId="6CDDEDBF" w:rsidR="00524F7B" w:rsidRPr="00A603B5" w:rsidRDefault="008D1946" w:rsidP="0039435B">
            <w:pPr>
              <w:jc w:val="center"/>
              <w:rPr>
                <w:sz w:val="20"/>
                <w:szCs w:val="20"/>
              </w:rPr>
            </w:pPr>
            <w:r>
              <w:rPr>
                <w:rFonts w:eastAsia="Times New Roman" w:cs="Arial"/>
                <w:snapToGrid w:val="0"/>
                <w:sz w:val="20"/>
                <w:szCs w:val="20"/>
                <w:lang w:eastAsia="en-US"/>
              </w:rPr>
              <w:t>REDACTED</w:t>
            </w:r>
          </w:p>
        </w:tc>
      </w:tr>
      <w:tr w:rsidR="00524F7B" w:rsidRPr="00BD1644" w14:paraId="2F3F6609" w14:textId="77777777" w:rsidTr="00325BAB">
        <w:trPr>
          <w:trHeight w:val="300"/>
        </w:trPr>
        <w:tc>
          <w:tcPr>
            <w:tcW w:w="2153" w:type="pct"/>
            <w:shd w:val="clear" w:color="auto" w:fill="auto"/>
            <w:noWrap/>
            <w:vAlign w:val="center"/>
          </w:tcPr>
          <w:p w14:paraId="6A420D03" w14:textId="77777777" w:rsidR="00524F7B" w:rsidRPr="00A603B5" w:rsidRDefault="00524F7B" w:rsidP="0039435B">
            <w:pPr>
              <w:rPr>
                <w:sz w:val="20"/>
                <w:szCs w:val="20"/>
              </w:rPr>
            </w:pPr>
            <w:r w:rsidRPr="00A603B5">
              <w:rPr>
                <w:sz w:val="20"/>
                <w:szCs w:val="20"/>
              </w:rPr>
              <w:t>Actual</w:t>
            </w:r>
          </w:p>
        </w:tc>
        <w:tc>
          <w:tcPr>
            <w:tcW w:w="1556" w:type="pct"/>
            <w:shd w:val="clear" w:color="auto" w:fill="auto"/>
            <w:noWrap/>
            <w:vAlign w:val="center"/>
          </w:tcPr>
          <w:p w14:paraId="02FA16DE" w14:textId="77777777" w:rsidR="00524F7B" w:rsidRPr="00A603B5" w:rsidRDefault="00524F7B" w:rsidP="0039435B">
            <w:pPr>
              <w:jc w:val="center"/>
              <w:rPr>
                <w:sz w:val="20"/>
                <w:szCs w:val="20"/>
              </w:rPr>
            </w:pPr>
            <w:r>
              <w:rPr>
                <w:sz w:val="20"/>
                <w:szCs w:val="20"/>
              </w:rPr>
              <w:t>1,213</w:t>
            </w:r>
          </w:p>
        </w:tc>
        <w:tc>
          <w:tcPr>
            <w:tcW w:w="1291" w:type="pct"/>
            <w:shd w:val="clear" w:color="auto" w:fill="auto"/>
            <w:noWrap/>
            <w:vAlign w:val="center"/>
          </w:tcPr>
          <w:p w14:paraId="4F4BEFE8" w14:textId="77777777" w:rsidR="00524F7B" w:rsidRPr="00A603B5" w:rsidRDefault="00524F7B" w:rsidP="0039435B">
            <w:pPr>
              <w:jc w:val="center"/>
              <w:rPr>
                <w:sz w:val="20"/>
                <w:szCs w:val="20"/>
              </w:rPr>
            </w:pPr>
            <w:r>
              <w:rPr>
                <w:sz w:val="20"/>
                <w:szCs w:val="20"/>
              </w:rPr>
              <w:t>1,333</w:t>
            </w:r>
          </w:p>
        </w:tc>
      </w:tr>
      <w:tr w:rsidR="00524F7B" w:rsidRPr="00BD1644" w14:paraId="748ACDA4" w14:textId="77777777" w:rsidTr="00325BAB">
        <w:trPr>
          <w:trHeight w:val="300"/>
        </w:trPr>
        <w:tc>
          <w:tcPr>
            <w:tcW w:w="2153" w:type="pct"/>
            <w:shd w:val="clear" w:color="auto" w:fill="auto"/>
            <w:noWrap/>
            <w:vAlign w:val="center"/>
          </w:tcPr>
          <w:p w14:paraId="2E3A2E14" w14:textId="77777777" w:rsidR="00524F7B" w:rsidRPr="00A603B5" w:rsidRDefault="00524F7B" w:rsidP="0039435B">
            <w:pPr>
              <w:rPr>
                <w:sz w:val="20"/>
                <w:szCs w:val="20"/>
              </w:rPr>
            </w:pPr>
            <w:r w:rsidRPr="00A603B5">
              <w:rPr>
                <w:sz w:val="20"/>
                <w:szCs w:val="20"/>
              </w:rPr>
              <w:t>Difference</w:t>
            </w:r>
          </w:p>
        </w:tc>
        <w:tc>
          <w:tcPr>
            <w:tcW w:w="1556" w:type="pct"/>
            <w:shd w:val="clear" w:color="auto" w:fill="auto"/>
            <w:noWrap/>
            <w:vAlign w:val="center"/>
          </w:tcPr>
          <w:p w14:paraId="090681B2" w14:textId="0833C0FA" w:rsidR="00524F7B" w:rsidRPr="00A603B5" w:rsidRDefault="008D1946" w:rsidP="0039435B">
            <w:pPr>
              <w:jc w:val="center"/>
              <w:rPr>
                <w:sz w:val="20"/>
                <w:szCs w:val="20"/>
              </w:rPr>
            </w:pPr>
            <w:r>
              <w:rPr>
                <w:rFonts w:eastAsia="Times New Roman" w:cs="Arial"/>
                <w:snapToGrid w:val="0"/>
                <w:sz w:val="20"/>
                <w:szCs w:val="20"/>
                <w:lang w:eastAsia="en-US"/>
              </w:rPr>
              <w:t>REDACTED</w:t>
            </w:r>
            <w:r>
              <w:rPr>
                <w:sz w:val="20"/>
                <w:szCs w:val="20"/>
              </w:rPr>
              <w:t xml:space="preserve"> </w:t>
            </w:r>
            <w:r w:rsidR="00524F7B">
              <w:rPr>
                <w:sz w:val="20"/>
                <w:szCs w:val="20"/>
              </w:rPr>
              <w:t>%</w:t>
            </w:r>
          </w:p>
        </w:tc>
        <w:tc>
          <w:tcPr>
            <w:tcW w:w="1291" w:type="pct"/>
            <w:shd w:val="clear" w:color="auto" w:fill="auto"/>
            <w:noWrap/>
            <w:vAlign w:val="center"/>
          </w:tcPr>
          <w:p w14:paraId="59AA47A1" w14:textId="1818C3AF" w:rsidR="00524F7B" w:rsidRPr="00A603B5" w:rsidRDefault="008D1946" w:rsidP="0039435B">
            <w:pPr>
              <w:jc w:val="center"/>
              <w:rPr>
                <w:sz w:val="20"/>
                <w:szCs w:val="20"/>
              </w:rPr>
            </w:pPr>
            <w:r>
              <w:rPr>
                <w:rFonts w:eastAsia="Times New Roman" w:cs="Arial"/>
                <w:snapToGrid w:val="0"/>
                <w:sz w:val="20"/>
                <w:szCs w:val="20"/>
                <w:lang w:eastAsia="en-US"/>
              </w:rPr>
              <w:t>REDACTED</w:t>
            </w:r>
            <w:r>
              <w:rPr>
                <w:sz w:val="20"/>
                <w:szCs w:val="20"/>
              </w:rPr>
              <w:t xml:space="preserve"> </w:t>
            </w:r>
            <w:r w:rsidR="00524F7B">
              <w:rPr>
                <w:sz w:val="20"/>
                <w:szCs w:val="20"/>
              </w:rPr>
              <w:t>%</w:t>
            </w:r>
          </w:p>
        </w:tc>
      </w:tr>
      <w:tr w:rsidR="00F725C4" w:rsidRPr="00BD1644" w14:paraId="78AC69C3" w14:textId="77777777" w:rsidTr="00325BAB">
        <w:trPr>
          <w:trHeight w:val="300"/>
        </w:trPr>
        <w:tc>
          <w:tcPr>
            <w:tcW w:w="2153" w:type="pct"/>
            <w:noWrap/>
            <w:vAlign w:val="center"/>
            <w:hideMark/>
          </w:tcPr>
          <w:p w14:paraId="794B6DC5" w14:textId="77777777" w:rsidR="00F725C4" w:rsidRPr="00BD1644" w:rsidRDefault="00F725C4" w:rsidP="0039435B">
            <w:pPr>
              <w:rPr>
                <w:b/>
                <w:sz w:val="20"/>
                <w:szCs w:val="20"/>
              </w:rPr>
            </w:pPr>
            <w:r w:rsidRPr="00BD1644">
              <w:rPr>
                <w:b/>
                <w:sz w:val="20"/>
                <w:szCs w:val="20"/>
              </w:rPr>
              <w:t>Packs</w:t>
            </w:r>
          </w:p>
        </w:tc>
        <w:tc>
          <w:tcPr>
            <w:tcW w:w="1556" w:type="pct"/>
            <w:vAlign w:val="center"/>
          </w:tcPr>
          <w:p w14:paraId="5DBF2596" w14:textId="232EF692" w:rsidR="00F725C4" w:rsidRPr="00BD1644" w:rsidRDefault="00F725C4" w:rsidP="00F725C4">
            <w:pPr>
              <w:jc w:val="center"/>
              <w:rPr>
                <w:b/>
                <w:sz w:val="20"/>
                <w:szCs w:val="20"/>
              </w:rPr>
            </w:pPr>
            <w:r w:rsidRPr="00BD1644">
              <w:rPr>
                <w:b/>
                <w:sz w:val="20"/>
                <w:szCs w:val="20"/>
              </w:rPr>
              <w:t>Packs</w:t>
            </w:r>
          </w:p>
        </w:tc>
        <w:tc>
          <w:tcPr>
            <w:tcW w:w="1291" w:type="pct"/>
            <w:vAlign w:val="center"/>
          </w:tcPr>
          <w:p w14:paraId="0C000AD6" w14:textId="5BB605EB" w:rsidR="00F725C4" w:rsidRPr="00BD1644" w:rsidRDefault="00F725C4" w:rsidP="00F725C4">
            <w:pPr>
              <w:jc w:val="center"/>
              <w:rPr>
                <w:b/>
                <w:sz w:val="20"/>
                <w:szCs w:val="20"/>
              </w:rPr>
            </w:pPr>
            <w:r w:rsidRPr="00BD1644">
              <w:rPr>
                <w:b/>
                <w:sz w:val="20"/>
                <w:szCs w:val="20"/>
              </w:rPr>
              <w:t>Packs</w:t>
            </w:r>
          </w:p>
        </w:tc>
      </w:tr>
      <w:tr w:rsidR="00524F7B" w:rsidRPr="00BD1644" w14:paraId="26F8B5F7" w14:textId="77777777" w:rsidTr="00325BAB">
        <w:trPr>
          <w:trHeight w:val="300"/>
        </w:trPr>
        <w:tc>
          <w:tcPr>
            <w:tcW w:w="2153" w:type="pct"/>
            <w:noWrap/>
            <w:vAlign w:val="center"/>
          </w:tcPr>
          <w:p w14:paraId="09625C9F" w14:textId="77777777" w:rsidR="00524F7B" w:rsidRPr="00BD1644" w:rsidRDefault="00524F7B" w:rsidP="0039435B">
            <w:pPr>
              <w:rPr>
                <w:sz w:val="20"/>
                <w:szCs w:val="20"/>
              </w:rPr>
            </w:pPr>
            <w:r w:rsidRPr="00BD1644">
              <w:rPr>
                <w:sz w:val="20"/>
                <w:szCs w:val="20"/>
              </w:rPr>
              <w:t>Predicted</w:t>
            </w:r>
            <w:r>
              <w:rPr>
                <w:sz w:val="20"/>
                <w:szCs w:val="20"/>
              </w:rPr>
              <w:t xml:space="preserve"> </w:t>
            </w:r>
          </w:p>
        </w:tc>
        <w:tc>
          <w:tcPr>
            <w:tcW w:w="1556" w:type="pct"/>
            <w:noWrap/>
            <w:vAlign w:val="center"/>
          </w:tcPr>
          <w:p w14:paraId="1D880021" w14:textId="51C4A042" w:rsidR="00524F7B" w:rsidRPr="00BD1644" w:rsidRDefault="000026AA" w:rsidP="0039435B">
            <w:pPr>
              <w:jc w:val="center"/>
              <w:rPr>
                <w:sz w:val="20"/>
                <w:szCs w:val="20"/>
              </w:rPr>
            </w:pPr>
            <w:r>
              <w:rPr>
                <w:rFonts w:eastAsia="Times New Roman" w:cs="Arial"/>
                <w:snapToGrid w:val="0"/>
                <w:sz w:val="20"/>
                <w:szCs w:val="20"/>
                <w:lang w:eastAsia="en-US"/>
              </w:rPr>
              <w:t>REDACTED</w:t>
            </w:r>
          </w:p>
        </w:tc>
        <w:tc>
          <w:tcPr>
            <w:tcW w:w="1291" w:type="pct"/>
            <w:noWrap/>
            <w:vAlign w:val="center"/>
          </w:tcPr>
          <w:p w14:paraId="0579A698" w14:textId="1382241F" w:rsidR="00524F7B" w:rsidRPr="00BD1644" w:rsidRDefault="000026AA" w:rsidP="0039435B">
            <w:pPr>
              <w:jc w:val="center"/>
              <w:rPr>
                <w:sz w:val="20"/>
                <w:szCs w:val="20"/>
              </w:rPr>
            </w:pPr>
            <w:r>
              <w:rPr>
                <w:rFonts w:eastAsia="Times New Roman" w:cs="Arial"/>
                <w:snapToGrid w:val="0"/>
                <w:sz w:val="20"/>
                <w:szCs w:val="20"/>
                <w:lang w:eastAsia="en-US"/>
              </w:rPr>
              <w:t>REDACTED</w:t>
            </w:r>
          </w:p>
        </w:tc>
      </w:tr>
      <w:tr w:rsidR="00524F7B" w:rsidRPr="00BD1644" w14:paraId="305D73C5" w14:textId="77777777" w:rsidTr="00325BAB">
        <w:trPr>
          <w:trHeight w:val="300"/>
        </w:trPr>
        <w:tc>
          <w:tcPr>
            <w:tcW w:w="2153" w:type="pct"/>
            <w:noWrap/>
            <w:vAlign w:val="center"/>
          </w:tcPr>
          <w:p w14:paraId="2E6986AB" w14:textId="77777777" w:rsidR="00524F7B" w:rsidRPr="00BD1644" w:rsidRDefault="00524F7B" w:rsidP="0039435B">
            <w:pPr>
              <w:rPr>
                <w:sz w:val="20"/>
                <w:szCs w:val="20"/>
              </w:rPr>
            </w:pPr>
            <w:r>
              <w:rPr>
                <w:sz w:val="20"/>
                <w:szCs w:val="20"/>
              </w:rPr>
              <w:lastRenderedPageBreak/>
              <w:t>Actual</w:t>
            </w:r>
          </w:p>
        </w:tc>
        <w:tc>
          <w:tcPr>
            <w:tcW w:w="1556" w:type="pct"/>
            <w:noWrap/>
            <w:vAlign w:val="center"/>
          </w:tcPr>
          <w:p w14:paraId="216021F8" w14:textId="77777777" w:rsidR="00524F7B" w:rsidRPr="00BD1644" w:rsidRDefault="00524F7B" w:rsidP="0039435B">
            <w:pPr>
              <w:jc w:val="center"/>
              <w:rPr>
                <w:sz w:val="20"/>
                <w:szCs w:val="20"/>
              </w:rPr>
            </w:pPr>
            <w:r w:rsidRPr="00BD1644">
              <w:rPr>
                <w:sz w:val="20"/>
                <w:szCs w:val="20"/>
              </w:rPr>
              <w:t>2,838</w:t>
            </w:r>
          </w:p>
        </w:tc>
        <w:tc>
          <w:tcPr>
            <w:tcW w:w="1291" w:type="pct"/>
            <w:noWrap/>
            <w:vAlign w:val="center"/>
          </w:tcPr>
          <w:p w14:paraId="0003E464" w14:textId="77777777" w:rsidR="00524F7B" w:rsidRPr="00BD1644" w:rsidRDefault="00524F7B" w:rsidP="0039435B">
            <w:pPr>
              <w:jc w:val="center"/>
              <w:rPr>
                <w:sz w:val="20"/>
                <w:szCs w:val="20"/>
              </w:rPr>
            </w:pPr>
            <w:r w:rsidRPr="00BD1644">
              <w:rPr>
                <w:sz w:val="20"/>
                <w:szCs w:val="20"/>
              </w:rPr>
              <w:t>3,585</w:t>
            </w:r>
          </w:p>
        </w:tc>
      </w:tr>
      <w:tr w:rsidR="00524F7B" w:rsidRPr="00BD1644" w14:paraId="5CC013BD" w14:textId="77777777" w:rsidTr="00325BAB">
        <w:trPr>
          <w:trHeight w:val="300"/>
        </w:trPr>
        <w:tc>
          <w:tcPr>
            <w:tcW w:w="2153" w:type="pct"/>
            <w:noWrap/>
            <w:vAlign w:val="center"/>
            <w:hideMark/>
          </w:tcPr>
          <w:p w14:paraId="0C2F2330" w14:textId="77777777" w:rsidR="00524F7B" w:rsidRPr="00BD1644" w:rsidRDefault="00524F7B" w:rsidP="0039435B">
            <w:pPr>
              <w:rPr>
                <w:sz w:val="20"/>
                <w:szCs w:val="20"/>
              </w:rPr>
            </w:pPr>
            <w:r w:rsidRPr="00BD1644">
              <w:rPr>
                <w:sz w:val="20"/>
                <w:szCs w:val="20"/>
              </w:rPr>
              <w:t>Difference</w:t>
            </w:r>
          </w:p>
        </w:tc>
        <w:tc>
          <w:tcPr>
            <w:tcW w:w="1556" w:type="pct"/>
            <w:noWrap/>
            <w:vAlign w:val="center"/>
          </w:tcPr>
          <w:p w14:paraId="0765A8D8" w14:textId="0B4425EC" w:rsidR="00524F7B" w:rsidRPr="00BD1644" w:rsidRDefault="005A2064" w:rsidP="0039435B">
            <w:pPr>
              <w:jc w:val="center"/>
              <w:rPr>
                <w:sz w:val="20"/>
                <w:szCs w:val="20"/>
              </w:rPr>
            </w:pPr>
            <w:r>
              <w:rPr>
                <w:rFonts w:eastAsia="Times New Roman" w:cs="Arial"/>
                <w:snapToGrid w:val="0"/>
                <w:sz w:val="20"/>
                <w:szCs w:val="20"/>
                <w:lang w:eastAsia="en-US"/>
              </w:rPr>
              <w:t>REDACTED</w:t>
            </w:r>
            <w:r w:rsidRPr="00BD1644">
              <w:rPr>
                <w:sz w:val="20"/>
                <w:szCs w:val="20"/>
              </w:rPr>
              <w:t xml:space="preserve"> </w:t>
            </w:r>
            <w:r w:rsidR="00524F7B" w:rsidRPr="00BD1644">
              <w:rPr>
                <w:sz w:val="20"/>
                <w:szCs w:val="20"/>
              </w:rPr>
              <w:t>%</w:t>
            </w:r>
          </w:p>
        </w:tc>
        <w:tc>
          <w:tcPr>
            <w:tcW w:w="1291" w:type="pct"/>
            <w:noWrap/>
            <w:vAlign w:val="center"/>
          </w:tcPr>
          <w:p w14:paraId="620B0B5F" w14:textId="33A335F1" w:rsidR="00524F7B" w:rsidRPr="00BD1644" w:rsidRDefault="005A2064" w:rsidP="0039435B">
            <w:pPr>
              <w:jc w:val="center"/>
              <w:rPr>
                <w:sz w:val="20"/>
                <w:szCs w:val="20"/>
              </w:rPr>
            </w:pPr>
            <w:r>
              <w:rPr>
                <w:rFonts w:eastAsia="Times New Roman" w:cs="Arial"/>
                <w:snapToGrid w:val="0"/>
                <w:sz w:val="20"/>
                <w:szCs w:val="20"/>
                <w:lang w:eastAsia="en-US"/>
              </w:rPr>
              <w:t>REDACTED</w:t>
            </w:r>
            <w:r w:rsidRPr="00BD1644">
              <w:rPr>
                <w:sz w:val="20"/>
                <w:szCs w:val="20"/>
              </w:rPr>
              <w:t xml:space="preserve"> </w:t>
            </w:r>
            <w:r w:rsidR="00524F7B" w:rsidRPr="00BD1644">
              <w:rPr>
                <w:sz w:val="20"/>
                <w:szCs w:val="20"/>
              </w:rPr>
              <w:t>%</w:t>
            </w:r>
          </w:p>
        </w:tc>
      </w:tr>
      <w:tr w:rsidR="00325BAB" w:rsidRPr="00BD1644" w14:paraId="65A64DD2" w14:textId="77777777" w:rsidTr="002D64DC">
        <w:trPr>
          <w:trHeight w:val="300"/>
        </w:trPr>
        <w:tc>
          <w:tcPr>
            <w:tcW w:w="2153" w:type="pct"/>
            <w:noWrap/>
            <w:vAlign w:val="center"/>
          </w:tcPr>
          <w:p w14:paraId="28CB7582" w14:textId="77777777" w:rsidR="00325BAB" w:rsidRPr="00BD1644" w:rsidRDefault="00325BAB" w:rsidP="0039435B">
            <w:pPr>
              <w:rPr>
                <w:b/>
                <w:sz w:val="20"/>
                <w:szCs w:val="20"/>
              </w:rPr>
            </w:pPr>
            <w:r w:rsidRPr="00BD1644">
              <w:rPr>
                <w:b/>
                <w:sz w:val="20"/>
                <w:szCs w:val="20"/>
              </w:rPr>
              <w:t xml:space="preserve">Published </w:t>
            </w:r>
            <w:r>
              <w:rPr>
                <w:b/>
                <w:sz w:val="20"/>
                <w:szCs w:val="20"/>
              </w:rPr>
              <w:t>e</w:t>
            </w:r>
            <w:r w:rsidRPr="00BD1644">
              <w:rPr>
                <w:b/>
                <w:sz w:val="20"/>
                <w:szCs w:val="20"/>
              </w:rPr>
              <w:t>xpenditure</w:t>
            </w:r>
          </w:p>
        </w:tc>
        <w:tc>
          <w:tcPr>
            <w:tcW w:w="1556" w:type="pct"/>
            <w:vAlign w:val="center"/>
          </w:tcPr>
          <w:p w14:paraId="2067C522" w14:textId="0836AD1C" w:rsidR="00325BAB" w:rsidRPr="00BD1644" w:rsidRDefault="002D64DC" w:rsidP="002D64DC">
            <w:pPr>
              <w:jc w:val="center"/>
              <w:rPr>
                <w:b/>
                <w:sz w:val="20"/>
                <w:szCs w:val="20"/>
              </w:rPr>
            </w:pPr>
            <w:r w:rsidRPr="00BD1644">
              <w:rPr>
                <w:b/>
                <w:sz w:val="20"/>
                <w:szCs w:val="20"/>
              </w:rPr>
              <w:t xml:space="preserve">Published </w:t>
            </w:r>
            <w:r>
              <w:rPr>
                <w:b/>
                <w:sz w:val="20"/>
                <w:szCs w:val="20"/>
              </w:rPr>
              <w:t>e</w:t>
            </w:r>
            <w:r w:rsidRPr="00BD1644">
              <w:rPr>
                <w:b/>
                <w:sz w:val="20"/>
                <w:szCs w:val="20"/>
              </w:rPr>
              <w:t>xpenditure</w:t>
            </w:r>
          </w:p>
        </w:tc>
        <w:tc>
          <w:tcPr>
            <w:tcW w:w="1291" w:type="pct"/>
            <w:vAlign w:val="center"/>
          </w:tcPr>
          <w:p w14:paraId="4FC2222F" w14:textId="349BBA9A" w:rsidR="00325BAB" w:rsidRPr="00BD1644" w:rsidRDefault="002D64DC" w:rsidP="002D64DC">
            <w:pPr>
              <w:jc w:val="center"/>
              <w:rPr>
                <w:b/>
                <w:sz w:val="20"/>
                <w:szCs w:val="20"/>
              </w:rPr>
            </w:pPr>
            <w:r w:rsidRPr="00BD1644">
              <w:rPr>
                <w:b/>
                <w:sz w:val="20"/>
                <w:szCs w:val="20"/>
              </w:rPr>
              <w:t xml:space="preserve">Published </w:t>
            </w:r>
            <w:r>
              <w:rPr>
                <w:b/>
                <w:sz w:val="20"/>
                <w:szCs w:val="20"/>
              </w:rPr>
              <w:t>e</w:t>
            </w:r>
            <w:r w:rsidRPr="00BD1644">
              <w:rPr>
                <w:b/>
                <w:sz w:val="20"/>
                <w:szCs w:val="20"/>
              </w:rPr>
              <w:t>xpenditure</w:t>
            </w:r>
          </w:p>
        </w:tc>
      </w:tr>
      <w:tr w:rsidR="00524F7B" w:rsidRPr="00BD1644" w14:paraId="69A53C2A" w14:textId="77777777" w:rsidTr="00325BAB">
        <w:trPr>
          <w:trHeight w:val="300"/>
        </w:trPr>
        <w:tc>
          <w:tcPr>
            <w:tcW w:w="2153" w:type="pct"/>
            <w:noWrap/>
            <w:vAlign w:val="center"/>
            <w:hideMark/>
          </w:tcPr>
          <w:p w14:paraId="38046EF2" w14:textId="77777777" w:rsidR="00524F7B" w:rsidRPr="00BD1644" w:rsidRDefault="00524F7B" w:rsidP="0039435B">
            <w:pPr>
              <w:rPr>
                <w:sz w:val="20"/>
                <w:szCs w:val="20"/>
              </w:rPr>
            </w:pPr>
            <w:r w:rsidRPr="00BD1644">
              <w:rPr>
                <w:sz w:val="20"/>
                <w:szCs w:val="20"/>
              </w:rPr>
              <w:t xml:space="preserve">Predicted </w:t>
            </w:r>
          </w:p>
        </w:tc>
        <w:tc>
          <w:tcPr>
            <w:tcW w:w="1556" w:type="pct"/>
            <w:noWrap/>
            <w:vAlign w:val="center"/>
            <w:hideMark/>
          </w:tcPr>
          <w:p w14:paraId="1D2104D8" w14:textId="6C4C4664" w:rsidR="00524F7B" w:rsidRPr="00BD1644" w:rsidRDefault="00524F7B" w:rsidP="0039435B">
            <w:pPr>
              <w:jc w:val="center"/>
              <w:rPr>
                <w:sz w:val="20"/>
                <w:szCs w:val="20"/>
              </w:rPr>
            </w:pPr>
            <w:r w:rsidRPr="00BD1644">
              <w:rPr>
                <w:sz w:val="20"/>
                <w:szCs w:val="20"/>
              </w:rPr>
              <w:t>$</w:t>
            </w:r>
            <w:r w:rsidR="00A27A2D">
              <w:rPr>
                <w:rFonts w:eastAsia="Times New Roman" w:cs="Arial"/>
                <w:snapToGrid w:val="0"/>
                <w:sz w:val="20"/>
                <w:szCs w:val="20"/>
                <w:lang w:eastAsia="en-US"/>
              </w:rPr>
              <w:t xml:space="preserve"> REDACTED</w:t>
            </w:r>
          </w:p>
        </w:tc>
        <w:tc>
          <w:tcPr>
            <w:tcW w:w="1291" w:type="pct"/>
            <w:noWrap/>
            <w:vAlign w:val="center"/>
            <w:hideMark/>
          </w:tcPr>
          <w:p w14:paraId="16C39E86" w14:textId="4F7B4D8F" w:rsidR="00524F7B" w:rsidRPr="00BD1644" w:rsidRDefault="00524F7B" w:rsidP="0039435B">
            <w:pPr>
              <w:jc w:val="center"/>
              <w:rPr>
                <w:sz w:val="20"/>
                <w:szCs w:val="20"/>
              </w:rPr>
            </w:pPr>
            <w:r w:rsidRPr="00BD1644">
              <w:rPr>
                <w:sz w:val="20"/>
                <w:szCs w:val="20"/>
              </w:rPr>
              <w:t>$</w:t>
            </w:r>
            <w:r w:rsidR="00A27A2D">
              <w:rPr>
                <w:rFonts w:eastAsia="Times New Roman" w:cs="Arial"/>
                <w:snapToGrid w:val="0"/>
                <w:sz w:val="20"/>
                <w:szCs w:val="20"/>
                <w:lang w:eastAsia="en-US"/>
              </w:rPr>
              <w:t xml:space="preserve"> REDACTED</w:t>
            </w:r>
          </w:p>
        </w:tc>
      </w:tr>
      <w:tr w:rsidR="00524F7B" w:rsidRPr="00BD1644" w14:paraId="463E7E5A" w14:textId="77777777" w:rsidTr="00325BAB">
        <w:trPr>
          <w:trHeight w:val="300"/>
        </w:trPr>
        <w:tc>
          <w:tcPr>
            <w:tcW w:w="2153" w:type="pct"/>
            <w:noWrap/>
            <w:vAlign w:val="center"/>
            <w:hideMark/>
          </w:tcPr>
          <w:p w14:paraId="03020E06" w14:textId="77777777" w:rsidR="00524F7B" w:rsidRPr="00BD1644" w:rsidRDefault="00524F7B" w:rsidP="0039435B">
            <w:pPr>
              <w:rPr>
                <w:sz w:val="20"/>
                <w:szCs w:val="20"/>
              </w:rPr>
            </w:pPr>
            <w:r>
              <w:rPr>
                <w:sz w:val="20"/>
                <w:szCs w:val="20"/>
              </w:rPr>
              <w:t>Actual</w:t>
            </w:r>
            <w:r w:rsidRPr="00BD1644">
              <w:rPr>
                <w:sz w:val="20"/>
                <w:szCs w:val="20"/>
              </w:rPr>
              <w:t xml:space="preserve"> </w:t>
            </w:r>
          </w:p>
        </w:tc>
        <w:tc>
          <w:tcPr>
            <w:tcW w:w="1556" w:type="pct"/>
            <w:noWrap/>
            <w:vAlign w:val="center"/>
            <w:hideMark/>
          </w:tcPr>
          <w:p w14:paraId="00E0ABD7" w14:textId="77777777" w:rsidR="00524F7B" w:rsidRPr="00BD1644" w:rsidRDefault="00524F7B" w:rsidP="0039435B">
            <w:pPr>
              <w:jc w:val="center"/>
              <w:rPr>
                <w:sz w:val="20"/>
                <w:szCs w:val="20"/>
              </w:rPr>
            </w:pPr>
            <w:r>
              <w:rPr>
                <w:sz w:val="20"/>
                <w:szCs w:val="20"/>
              </w:rPr>
              <w:t>$</w:t>
            </w:r>
            <w:r w:rsidRPr="009A2799">
              <w:rPr>
                <w:sz w:val="20"/>
                <w:szCs w:val="20"/>
              </w:rPr>
              <w:t>6,152,405</w:t>
            </w:r>
          </w:p>
        </w:tc>
        <w:tc>
          <w:tcPr>
            <w:tcW w:w="1291" w:type="pct"/>
            <w:noWrap/>
            <w:vAlign w:val="center"/>
            <w:hideMark/>
          </w:tcPr>
          <w:p w14:paraId="462CF84D" w14:textId="77777777" w:rsidR="00524F7B" w:rsidRPr="00BD1644" w:rsidRDefault="00524F7B" w:rsidP="0039435B">
            <w:pPr>
              <w:jc w:val="center"/>
              <w:rPr>
                <w:sz w:val="20"/>
                <w:szCs w:val="20"/>
              </w:rPr>
            </w:pPr>
            <w:r>
              <w:rPr>
                <w:sz w:val="20"/>
                <w:szCs w:val="20"/>
              </w:rPr>
              <w:t>$</w:t>
            </w:r>
            <w:r w:rsidRPr="009A2799">
              <w:rPr>
                <w:sz w:val="20"/>
                <w:szCs w:val="20"/>
              </w:rPr>
              <w:t>7,762,363</w:t>
            </w:r>
          </w:p>
        </w:tc>
      </w:tr>
      <w:tr w:rsidR="00524F7B" w:rsidRPr="00BD1644" w14:paraId="7EE06288" w14:textId="77777777" w:rsidTr="00325BAB">
        <w:trPr>
          <w:trHeight w:val="300"/>
        </w:trPr>
        <w:tc>
          <w:tcPr>
            <w:tcW w:w="2153" w:type="pct"/>
            <w:noWrap/>
            <w:vAlign w:val="center"/>
          </w:tcPr>
          <w:p w14:paraId="66822E5E" w14:textId="77777777" w:rsidR="00524F7B" w:rsidRPr="00BD1644" w:rsidRDefault="00524F7B" w:rsidP="0039435B">
            <w:pPr>
              <w:rPr>
                <w:sz w:val="20"/>
                <w:szCs w:val="20"/>
              </w:rPr>
            </w:pPr>
            <w:r w:rsidRPr="00BD1644">
              <w:rPr>
                <w:sz w:val="20"/>
                <w:szCs w:val="20"/>
              </w:rPr>
              <w:t>Difference</w:t>
            </w:r>
          </w:p>
        </w:tc>
        <w:tc>
          <w:tcPr>
            <w:tcW w:w="1556" w:type="pct"/>
            <w:noWrap/>
            <w:vAlign w:val="center"/>
          </w:tcPr>
          <w:p w14:paraId="2B39A6AA" w14:textId="3160A105" w:rsidR="00524F7B" w:rsidRPr="00BD1644" w:rsidRDefault="00A27A2D" w:rsidP="0039435B">
            <w:pPr>
              <w:jc w:val="center"/>
              <w:rPr>
                <w:sz w:val="20"/>
                <w:szCs w:val="20"/>
              </w:rPr>
            </w:pPr>
            <w:r>
              <w:rPr>
                <w:rFonts w:eastAsia="Times New Roman" w:cs="Arial"/>
                <w:snapToGrid w:val="0"/>
                <w:sz w:val="20"/>
                <w:szCs w:val="20"/>
                <w:lang w:eastAsia="en-US"/>
              </w:rPr>
              <w:t>REDACTED</w:t>
            </w:r>
            <w:r w:rsidRPr="00BD1644">
              <w:rPr>
                <w:sz w:val="20"/>
                <w:szCs w:val="20"/>
              </w:rPr>
              <w:t xml:space="preserve"> </w:t>
            </w:r>
            <w:r w:rsidR="00524F7B" w:rsidRPr="00BD1644">
              <w:rPr>
                <w:sz w:val="20"/>
                <w:szCs w:val="20"/>
              </w:rPr>
              <w:t>%</w:t>
            </w:r>
          </w:p>
        </w:tc>
        <w:tc>
          <w:tcPr>
            <w:tcW w:w="1291" w:type="pct"/>
            <w:noWrap/>
            <w:vAlign w:val="center"/>
          </w:tcPr>
          <w:p w14:paraId="5DBB8B6B" w14:textId="43684D6D" w:rsidR="00524F7B" w:rsidRPr="00BD1644" w:rsidRDefault="00A27A2D" w:rsidP="0039435B">
            <w:pPr>
              <w:jc w:val="center"/>
              <w:rPr>
                <w:sz w:val="20"/>
                <w:szCs w:val="20"/>
              </w:rPr>
            </w:pPr>
            <w:r>
              <w:rPr>
                <w:rFonts w:eastAsia="Times New Roman" w:cs="Arial"/>
                <w:snapToGrid w:val="0"/>
                <w:sz w:val="20"/>
                <w:szCs w:val="20"/>
                <w:lang w:eastAsia="en-US"/>
              </w:rPr>
              <w:t>REDACTED</w:t>
            </w:r>
            <w:r w:rsidRPr="00BD1644">
              <w:rPr>
                <w:sz w:val="20"/>
                <w:szCs w:val="20"/>
              </w:rPr>
              <w:t xml:space="preserve"> </w:t>
            </w:r>
            <w:r w:rsidR="00524F7B" w:rsidRPr="00BD1644">
              <w:rPr>
                <w:sz w:val="20"/>
                <w:szCs w:val="20"/>
              </w:rPr>
              <w:t>%</w:t>
            </w:r>
          </w:p>
        </w:tc>
      </w:tr>
      <w:tr w:rsidR="00E20F02" w:rsidRPr="00BD1644" w14:paraId="4DF52FA5" w14:textId="77777777" w:rsidTr="00E20F02">
        <w:trPr>
          <w:trHeight w:val="300"/>
        </w:trPr>
        <w:tc>
          <w:tcPr>
            <w:tcW w:w="2153" w:type="pct"/>
            <w:noWrap/>
            <w:vAlign w:val="center"/>
          </w:tcPr>
          <w:p w14:paraId="5CE628DF" w14:textId="77777777" w:rsidR="00E20F02" w:rsidRPr="00BD1644" w:rsidRDefault="00E20F02" w:rsidP="0039435B">
            <w:pPr>
              <w:rPr>
                <w:b/>
                <w:sz w:val="20"/>
                <w:szCs w:val="20"/>
              </w:rPr>
            </w:pPr>
            <w:r w:rsidRPr="00BD1644">
              <w:rPr>
                <w:b/>
                <w:sz w:val="20"/>
                <w:szCs w:val="20"/>
              </w:rPr>
              <w:t xml:space="preserve">Effective </w:t>
            </w:r>
            <w:r>
              <w:rPr>
                <w:b/>
                <w:sz w:val="20"/>
                <w:szCs w:val="20"/>
              </w:rPr>
              <w:t>e</w:t>
            </w:r>
            <w:r w:rsidRPr="00BD1644">
              <w:rPr>
                <w:b/>
                <w:sz w:val="20"/>
                <w:szCs w:val="20"/>
              </w:rPr>
              <w:t>xpenditure</w:t>
            </w:r>
          </w:p>
        </w:tc>
        <w:tc>
          <w:tcPr>
            <w:tcW w:w="1556" w:type="pct"/>
            <w:vAlign w:val="center"/>
          </w:tcPr>
          <w:p w14:paraId="04BAE3C8" w14:textId="5EC369E7" w:rsidR="00E20F02" w:rsidRPr="00BD1644" w:rsidRDefault="00E20F02" w:rsidP="00E20F02">
            <w:pPr>
              <w:jc w:val="center"/>
              <w:rPr>
                <w:b/>
                <w:sz w:val="20"/>
                <w:szCs w:val="20"/>
              </w:rPr>
            </w:pPr>
            <w:r w:rsidRPr="00BD1644">
              <w:rPr>
                <w:b/>
                <w:sz w:val="20"/>
                <w:szCs w:val="20"/>
              </w:rPr>
              <w:t xml:space="preserve">Effective </w:t>
            </w:r>
            <w:r>
              <w:rPr>
                <w:b/>
                <w:sz w:val="20"/>
                <w:szCs w:val="20"/>
              </w:rPr>
              <w:t>e</w:t>
            </w:r>
            <w:r w:rsidRPr="00BD1644">
              <w:rPr>
                <w:b/>
                <w:sz w:val="20"/>
                <w:szCs w:val="20"/>
              </w:rPr>
              <w:t>xpenditure</w:t>
            </w:r>
          </w:p>
        </w:tc>
        <w:tc>
          <w:tcPr>
            <w:tcW w:w="1291" w:type="pct"/>
            <w:vAlign w:val="center"/>
          </w:tcPr>
          <w:p w14:paraId="0130F35F" w14:textId="09C2B197" w:rsidR="00E20F02" w:rsidRPr="00BD1644" w:rsidRDefault="00E20F02" w:rsidP="00E20F02">
            <w:pPr>
              <w:jc w:val="center"/>
              <w:rPr>
                <w:b/>
                <w:sz w:val="20"/>
                <w:szCs w:val="20"/>
              </w:rPr>
            </w:pPr>
            <w:r w:rsidRPr="00BD1644">
              <w:rPr>
                <w:b/>
                <w:sz w:val="20"/>
                <w:szCs w:val="20"/>
              </w:rPr>
              <w:t xml:space="preserve">Effective </w:t>
            </w:r>
            <w:r>
              <w:rPr>
                <w:b/>
                <w:sz w:val="20"/>
                <w:szCs w:val="20"/>
              </w:rPr>
              <w:t>e</w:t>
            </w:r>
            <w:r w:rsidRPr="00BD1644">
              <w:rPr>
                <w:b/>
                <w:sz w:val="20"/>
                <w:szCs w:val="20"/>
              </w:rPr>
              <w:t>xpenditure</w:t>
            </w:r>
          </w:p>
        </w:tc>
      </w:tr>
      <w:tr w:rsidR="00524F7B" w:rsidRPr="00BD1644" w14:paraId="6348D55B" w14:textId="77777777" w:rsidTr="00325BAB">
        <w:trPr>
          <w:trHeight w:val="300"/>
        </w:trPr>
        <w:tc>
          <w:tcPr>
            <w:tcW w:w="2153" w:type="pct"/>
            <w:noWrap/>
            <w:vAlign w:val="center"/>
            <w:hideMark/>
          </w:tcPr>
          <w:p w14:paraId="5231A642" w14:textId="77777777" w:rsidR="00524F7B" w:rsidRPr="00BD1644" w:rsidRDefault="00524F7B" w:rsidP="0039435B">
            <w:pPr>
              <w:rPr>
                <w:sz w:val="20"/>
                <w:szCs w:val="20"/>
              </w:rPr>
            </w:pPr>
            <w:r w:rsidRPr="00BD1644">
              <w:rPr>
                <w:sz w:val="20"/>
                <w:szCs w:val="20"/>
              </w:rPr>
              <w:t xml:space="preserve">Predicted </w:t>
            </w:r>
          </w:p>
        </w:tc>
        <w:tc>
          <w:tcPr>
            <w:tcW w:w="1556" w:type="pct"/>
            <w:noWrap/>
            <w:vAlign w:val="center"/>
            <w:hideMark/>
          </w:tcPr>
          <w:p w14:paraId="55C404B2" w14:textId="055D8AAF" w:rsidR="00524F7B" w:rsidRPr="00BD1644" w:rsidRDefault="00524F7B" w:rsidP="0039435B">
            <w:pPr>
              <w:jc w:val="center"/>
              <w:rPr>
                <w:sz w:val="20"/>
                <w:szCs w:val="20"/>
              </w:rPr>
            </w:pPr>
            <w:r w:rsidRPr="00BD1644">
              <w:rPr>
                <w:sz w:val="20"/>
                <w:szCs w:val="20"/>
              </w:rPr>
              <w:t>$</w:t>
            </w:r>
            <w:r w:rsidR="00B538AD">
              <w:rPr>
                <w:rFonts w:eastAsia="Times New Roman" w:cs="Arial"/>
                <w:snapToGrid w:val="0"/>
                <w:sz w:val="20"/>
                <w:szCs w:val="20"/>
                <w:lang w:eastAsia="en-US"/>
              </w:rPr>
              <w:t xml:space="preserve"> REDACTED</w:t>
            </w:r>
          </w:p>
        </w:tc>
        <w:tc>
          <w:tcPr>
            <w:tcW w:w="1291" w:type="pct"/>
            <w:noWrap/>
            <w:vAlign w:val="center"/>
            <w:hideMark/>
          </w:tcPr>
          <w:p w14:paraId="5BF50EE2" w14:textId="55C2ADB4" w:rsidR="00524F7B" w:rsidRPr="00BD1644" w:rsidRDefault="00524F7B" w:rsidP="0039435B">
            <w:pPr>
              <w:jc w:val="center"/>
              <w:rPr>
                <w:sz w:val="20"/>
                <w:szCs w:val="20"/>
              </w:rPr>
            </w:pPr>
            <w:r w:rsidRPr="00BD1644">
              <w:rPr>
                <w:sz w:val="20"/>
                <w:szCs w:val="20"/>
              </w:rPr>
              <w:t>$</w:t>
            </w:r>
            <w:r w:rsidR="00B538AD">
              <w:rPr>
                <w:rFonts w:eastAsia="Times New Roman" w:cs="Arial"/>
                <w:snapToGrid w:val="0"/>
                <w:sz w:val="20"/>
                <w:szCs w:val="20"/>
                <w:lang w:eastAsia="en-US"/>
              </w:rPr>
              <w:t xml:space="preserve"> REDACTED</w:t>
            </w:r>
          </w:p>
        </w:tc>
      </w:tr>
      <w:tr w:rsidR="00524F7B" w:rsidRPr="00BD1644" w14:paraId="5873B0FB" w14:textId="77777777" w:rsidTr="00325BAB">
        <w:trPr>
          <w:trHeight w:val="300"/>
        </w:trPr>
        <w:tc>
          <w:tcPr>
            <w:tcW w:w="2153" w:type="pct"/>
            <w:noWrap/>
            <w:vAlign w:val="center"/>
            <w:hideMark/>
          </w:tcPr>
          <w:p w14:paraId="7C2DFB6A" w14:textId="77777777" w:rsidR="00524F7B" w:rsidRPr="00BD1644" w:rsidRDefault="00524F7B" w:rsidP="0039435B">
            <w:pPr>
              <w:rPr>
                <w:sz w:val="20"/>
                <w:szCs w:val="20"/>
              </w:rPr>
            </w:pPr>
            <w:r>
              <w:rPr>
                <w:sz w:val="20"/>
                <w:szCs w:val="20"/>
              </w:rPr>
              <w:t xml:space="preserve">Actual </w:t>
            </w:r>
          </w:p>
        </w:tc>
        <w:tc>
          <w:tcPr>
            <w:tcW w:w="1556" w:type="pct"/>
            <w:noWrap/>
            <w:vAlign w:val="center"/>
            <w:hideMark/>
          </w:tcPr>
          <w:p w14:paraId="0B131F47" w14:textId="15528EF3" w:rsidR="00524F7B" w:rsidRPr="00BD1644" w:rsidRDefault="00524F7B" w:rsidP="0039435B">
            <w:pPr>
              <w:jc w:val="center"/>
              <w:rPr>
                <w:sz w:val="20"/>
                <w:szCs w:val="20"/>
              </w:rPr>
            </w:pPr>
            <w:r>
              <w:rPr>
                <w:sz w:val="20"/>
                <w:szCs w:val="20"/>
              </w:rPr>
              <w:t xml:space="preserve">$ </w:t>
            </w:r>
            <w:r w:rsidR="00B538AD">
              <w:rPr>
                <w:rFonts w:eastAsia="Times New Roman" w:cs="Arial"/>
                <w:snapToGrid w:val="0"/>
                <w:sz w:val="20"/>
                <w:szCs w:val="20"/>
                <w:lang w:eastAsia="en-US"/>
              </w:rPr>
              <w:t>REDACTED</w:t>
            </w:r>
          </w:p>
        </w:tc>
        <w:tc>
          <w:tcPr>
            <w:tcW w:w="1291" w:type="pct"/>
            <w:noWrap/>
            <w:vAlign w:val="center"/>
            <w:hideMark/>
          </w:tcPr>
          <w:p w14:paraId="77A38D61" w14:textId="15AACC23" w:rsidR="00524F7B" w:rsidRPr="00BD1644" w:rsidRDefault="00524F7B" w:rsidP="0039435B">
            <w:pPr>
              <w:jc w:val="center"/>
              <w:rPr>
                <w:sz w:val="20"/>
                <w:szCs w:val="20"/>
              </w:rPr>
            </w:pPr>
            <w:r>
              <w:rPr>
                <w:sz w:val="20"/>
                <w:szCs w:val="20"/>
              </w:rPr>
              <w:t xml:space="preserve">$ </w:t>
            </w:r>
            <w:r w:rsidR="00B538AD">
              <w:rPr>
                <w:rFonts w:eastAsia="Times New Roman" w:cs="Arial"/>
                <w:snapToGrid w:val="0"/>
                <w:sz w:val="20"/>
                <w:szCs w:val="20"/>
                <w:lang w:eastAsia="en-US"/>
              </w:rPr>
              <w:t>REDACTED</w:t>
            </w:r>
          </w:p>
        </w:tc>
      </w:tr>
      <w:tr w:rsidR="00524F7B" w:rsidRPr="00BD1644" w14:paraId="004D7EFB" w14:textId="77777777" w:rsidTr="00325BAB">
        <w:trPr>
          <w:trHeight w:val="300"/>
        </w:trPr>
        <w:tc>
          <w:tcPr>
            <w:tcW w:w="2153" w:type="pct"/>
            <w:noWrap/>
            <w:vAlign w:val="center"/>
          </w:tcPr>
          <w:p w14:paraId="695978DA" w14:textId="77777777" w:rsidR="00524F7B" w:rsidRPr="00BD1644" w:rsidRDefault="00524F7B" w:rsidP="0039435B">
            <w:pPr>
              <w:rPr>
                <w:sz w:val="20"/>
                <w:szCs w:val="20"/>
              </w:rPr>
            </w:pPr>
            <w:r w:rsidRPr="00BD1644">
              <w:rPr>
                <w:sz w:val="20"/>
                <w:szCs w:val="20"/>
              </w:rPr>
              <w:t>Difference</w:t>
            </w:r>
          </w:p>
        </w:tc>
        <w:tc>
          <w:tcPr>
            <w:tcW w:w="1556" w:type="pct"/>
            <w:noWrap/>
            <w:vAlign w:val="center"/>
          </w:tcPr>
          <w:p w14:paraId="287E4413" w14:textId="1951FD6F" w:rsidR="00524F7B" w:rsidRPr="00BD1644" w:rsidRDefault="00B538AD" w:rsidP="0039435B">
            <w:pPr>
              <w:jc w:val="center"/>
              <w:rPr>
                <w:sz w:val="20"/>
                <w:szCs w:val="20"/>
              </w:rPr>
            </w:pPr>
            <w:r>
              <w:rPr>
                <w:rFonts w:eastAsia="Times New Roman" w:cs="Arial"/>
                <w:snapToGrid w:val="0"/>
                <w:sz w:val="20"/>
                <w:szCs w:val="20"/>
                <w:lang w:eastAsia="en-US"/>
              </w:rPr>
              <w:t>REDACTED</w:t>
            </w:r>
            <w:r w:rsidRPr="00BD1644">
              <w:rPr>
                <w:sz w:val="20"/>
                <w:szCs w:val="20"/>
              </w:rPr>
              <w:t xml:space="preserve"> </w:t>
            </w:r>
            <w:r w:rsidR="00524F7B" w:rsidRPr="00BD1644">
              <w:rPr>
                <w:sz w:val="20"/>
                <w:szCs w:val="20"/>
              </w:rPr>
              <w:t>%</w:t>
            </w:r>
          </w:p>
        </w:tc>
        <w:tc>
          <w:tcPr>
            <w:tcW w:w="1291" w:type="pct"/>
            <w:noWrap/>
            <w:vAlign w:val="center"/>
          </w:tcPr>
          <w:p w14:paraId="0F065091" w14:textId="009BC19B" w:rsidR="00524F7B" w:rsidRPr="00BD1644" w:rsidRDefault="00B538AD" w:rsidP="0039435B">
            <w:pPr>
              <w:jc w:val="center"/>
              <w:rPr>
                <w:sz w:val="20"/>
                <w:szCs w:val="20"/>
              </w:rPr>
            </w:pPr>
            <w:r>
              <w:rPr>
                <w:rFonts w:eastAsia="Times New Roman" w:cs="Arial"/>
                <w:snapToGrid w:val="0"/>
                <w:sz w:val="20"/>
                <w:szCs w:val="20"/>
                <w:lang w:eastAsia="en-US"/>
              </w:rPr>
              <w:t>REDACTED</w:t>
            </w:r>
            <w:r w:rsidRPr="00BD1644">
              <w:rPr>
                <w:sz w:val="20"/>
                <w:szCs w:val="20"/>
              </w:rPr>
              <w:t xml:space="preserve"> </w:t>
            </w:r>
            <w:r w:rsidR="00524F7B" w:rsidRPr="00BD1644">
              <w:rPr>
                <w:sz w:val="20"/>
                <w:szCs w:val="20"/>
              </w:rPr>
              <w:t>%</w:t>
            </w:r>
          </w:p>
        </w:tc>
      </w:tr>
    </w:tbl>
    <w:p w14:paraId="380D0E6B" w14:textId="77777777" w:rsidR="00524F7B" w:rsidRDefault="00524F7B" w:rsidP="00524F7B">
      <w:pPr>
        <w:pStyle w:val="Figurecaption"/>
      </w:pPr>
      <w:r>
        <w:t xml:space="preserve">Source: TSI Final Estimates (predicted), DHS Supplied Prescriptions Database (actual), extracted July 2014. </w:t>
      </w:r>
    </w:p>
    <w:p w14:paraId="67EEF14B" w14:textId="77777777" w:rsidR="00524F7B" w:rsidRDefault="00524F7B" w:rsidP="00524F7B">
      <w:pPr>
        <w:pStyle w:val="Figurecaption"/>
      </w:pPr>
    </w:p>
    <w:p w14:paraId="54ABAAFA" w14:textId="21C63C4E" w:rsidR="00524F7B" w:rsidRDefault="00524F7B" w:rsidP="00524F7B">
      <w:r>
        <w:t xml:space="preserve">In the second year of listing, the total number of patients who received TSI was close to the number predicted. </w:t>
      </w:r>
      <w:r w:rsidR="00AF7E6E">
        <w:t xml:space="preserve"> </w:t>
      </w:r>
      <w:r>
        <w:t>However, the total number of packs supplied and expenditure</w:t>
      </w:r>
      <w:r w:rsidR="00037B21">
        <w:t xml:space="preserve"> were below what was predicted.</w:t>
      </w:r>
    </w:p>
    <w:p w14:paraId="3555DFBA" w14:textId="60E8E761" w:rsidR="00591512" w:rsidRDefault="00AB3733" w:rsidP="00FD13CD">
      <w:pPr>
        <w:pStyle w:val="Heading3"/>
      </w:pPr>
      <w:r>
        <w:t>D</w:t>
      </w:r>
      <w:r w:rsidR="007346C7" w:rsidRPr="005E22C2">
        <w:t>iscussion</w:t>
      </w:r>
    </w:p>
    <w:p w14:paraId="7E2BFB9B" w14:textId="02F39949" w:rsidR="0096617F" w:rsidRPr="004955CE" w:rsidRDefault="00432B56" w:rsidP="0096617F">
      <w:r>
        <w:t>The results of the 24 month predicted versus actual</w:t>
      </w:r>
      <w:r w:rsidR="0096617F" w:rsidRPr="004955CE">
        <w:t xml:space="preserve"> analysis show the total number of patients treated with TSI was similar to that predicted. </w:t>
      </w:r>
      <w:r w:rsidR="00923B52">
        <w:t xml:space="preserve"> </w:t>
      </w:r>
      <w:r w:rsidR="0096617F" w:rsidRPr="004955CE">
        <w:t>However, the num</w:t>
      </w:r>
      <w:r w:rsidR="003D41D1">
        <w:t xml:space="preserve">ber of packs supplied is lower.  </w:t>
      </w:r>
      <w:r w:rsidR="0096617F" w:rsidRPr="004955CE">
        <w:t xml:space="preserve">This is also shown in the number of prescriptions per patient analysis, showing few patients received five or more prescriptions over 12 months in the patient cohort aged 15 years or older.  This </w:t>
      </w:r>
      <w:r w:rsidR="00BF2F3E">
        <w:t xml:space="preserve">DUSC considered the </w:t>
      </w:r>
      <w:r w:rsidR="0096617F" w:rsidRPr="004955CE">
        <w:t>analysis demonstrated that younger patients may be on eradication protocols of o</w:t>
      </w:r>
      <w:r w:rsidR="003D41D1">
        <w:t xml:space="preserve">ne to three months in duration.  </w:t>
      </w:r>
      <w:r w:rsidR="0096617F" w:rsidRPr="004955CE">
        <w:t>The patterns of treatment used by patients aged 15 years and older is not clear.</w:t>
      </w:r>
      <w:r w:rsidR="003D41D1">
        <w:t xml:space="preserve">  </w:t>
      </w:r>
      <w:r w:rsidR="0096617F" w:rsidRPr="004955CE">
        <w:t xml:space="preserve">It was expected these patients predominantly had chronic </w:t>
      </w:r>
      <w:r w:rsidR="0096617F" w:rsidRPr="003D41D1">
        <w:rPr>
          <w:i/>
        </w:rPr>
        <w:t>P</w:t>
      </w:r>
      <w:r w:rsidR="003D41D1">
        <w:rPr>
          <w:i/>
        </w:rPr>
        <w:t>.</w:t>
      </w:r>
      <w:r w:rsidR="0096617F" w:rsidRPr="003D41D1">
        <w:rPr>
          <w:i/>
        </w:rPr>
        <w:t xml:space="preserve"> </w:t>
      </w:r>
      <w:proofErr w:type="spellStart"/>
      <w:r w:rsidR="0096617F" w:rsidRPr="003D41D1">
        <w:rPr>
          <w:i/>
        </w:rPr>
        <w:t>aeruginosa</w:t>
      </w:r>
      <w:proofErr w:type="spellEnd"/>
      <w:r w:rsidR="0096617F" w:rsidRPr="004955CE">
        <w:t xml:space="preserve"> infection and would be expected to use approximat</w:t>
      </w:r>
      <w:r w:rsidR="00FC4E6D">
        <w:t>ely six prescriptions per year.</w:t>
      </w:r>
    </w:p>
    <w:p w14:paraId="786066BC" w14:textId="7CC6A5FA" w:rsidR="0096617F" w:rsidRPr="004955CE" w:rsidRDefault="0096617F" w:rsidP="0096617F">
      <w:r w:rsidRPr="004955CE">
        <w:t xml:space="preserve">There is difficulty in ascertaining patterns </w:t>
      </w:r>
      <w:r w:rsidR="002A6555">
        <w:t xml:space="preserve">of TSI usage by using PBS data.  The </w:t>
      </w:r>
      <w:r w:rsidRPr="004955CE">
        <w:t>PBS data does not capture other factors that affect apparent utilisation patterns. These include:</w:t>
      </w:r>
    </w:p>
    <w:p w14:paraId="25523D0C" w14:textId="77777777" w:rsidR="0096617F" w:rsidRPr="004955CE" w:rsidRDefault="0096617F" w:rsidP="000421B1">
      <w:pPr>
        <w:pStyle w:val="ListParagraph"/>
        <w:numPr>
          <w:ilvl w:val="0"/>
          <w:numId w:val="7"/>
        </w:numPr>
      </w:pPr>
      <w:r w:rsidRPr="004955CE">
        <w:t xml:space="preserve">variability of treatment regimens, including cyclical versus continuous TSI, and possible cycling with non-PBS medicines such as </w:t>
      </w:r>
      <w:proofErr w:type="spellStart"/>
      <w:r w:rsidRPr="004955CE">
        <w:t>aztreonam</w:t>
      </w:r>
      <w:proofErr w:type="spellEnd"/>
      <w:r w:rsidRPr="004955CE">
        <w:t xml:space="preserve"> and </w:t>
      </w:r>
      <w:proofErr w:type="spellStart"/>
      <w:r w:rsidRPr="004955CE">
        <w:t>colistin</w:t>
      </w:r>
      <w:proofErr w:type="spellEnd"/>
      <w:r w:rsidRPr="004955CE">
        <w:t>;</w:t>
      </w:r>
    </w:p>
    <w:p w14:paraId="5EFCCDD9" w14:textId="77777777" w:rsidR="0096617F" w:rsidRPr="004955CE" w:rsidRDefault="0096617F" w:rsidP="000421B1">
      <w:pPr>
        <w:pStyle w:val="ListParagraph"/>
        <w:numPr>
          <w:ilvl w:val="0"/>
          <w:numId w:val="7"/>
        </w:numPr>
      </w:pPr>
      <w:r w:rsidRPr="004955CE">
        <w:t>public hospital supply of larger quantities of tobramycin for patient convenience;</w:t>
      </w:r>
    </w:p>
    <w:p w14:paraId="2371EB87" w14:textId="77777777" w:rsidR="0096617F" w:rsidRPr="004955CE" w:rsidRDefault="0096617F" w:rsidP="000421B1">
      <w:pPr>
        <w:pStyle w:val="ListParagraph"/>
        <w:numPr>
          <w:ilvl w:val="0"/>
          <w:numId w:val="7"/>
        </w:numPr>
      </w:pPr>
      <w:r w:rsidRPr="004955CE">
        <w:t>temporary cessation in inhaled therapy to receive IV antibiotics for exacerbations;</w:t>
      </w:r>
    </w:p>
    <w:p w14:paraId="646570E2" w14:textId="77777777" w:rsidR="0096617F" w:rsidRPr="004955CE" w:rsidRDefault="0096617F" w:rsidP="000421B1">
      <w:pPr>
        <w:pStyle w:val="ListParagraph"/>
        <w:numPr>
          <w:ilvl w:val="0"/>
          <w:numId w:val="7"/>
        </w:numPr>
      </w:pPr>
      <w:r w:rsidRPr="004955CE">
        <w:t>patients maintaining a stock of medicines  to be used when symptoms appear or worsen;</w:t>
      </w:r>
    </w:p>
    <w:p w14:paraId="22A87BF3" w14:textId="00FDDD93" w:rsidR="0096617F" w:rsidRPr="004955CE" w:rsidRDefault="0096617F" w:rsidP="000421B1">
      <w:pPr>
        <w:pStyle w:val="ListParagraph"/>
        <w:numPr>
          <w:ilvl w:val="0"/>
          <w:numId w:val="7"/>
        </w:numPr>
      </w:pPr>
      <w:r w:rsidRPr="004955CE">
        <w:t>prescription sharing in families where more than one family member has CF</w:t>
      </w:r>
      <w:r w:rsidR="008C3D61">
        <w:t>;</w:t>
      </w:r>
      <w:r w:rsidRPr="004955CE">
        <w:t xml:space="preserve"> </w:t>
      </w:r>
    </w:p>
    <w:p w14:paraId="34A7D7B2" w14:textId="0B282447" w:rsidR="0096617F" w:rsidRPr="004955CE" w:rsidRDefault="0096617F" w:rsidP="000421B1">
      <w:pPr>
        <w:pStyle w:val="ListParagraph"/>
        <w:numPr>
          <w:ilvl w:val="0"/>
          <w:numId w:val="7"/>
        </w:numPr>
      </w:pPr>
      <w:r w:rsidRPr="004955CE">
        <w:t xml:space="preserve">age of onset of chronic </w:t>
      </w:r>
      <w:r w:rsidRPr="000C6377">
        <w:rPr>
          <w:i/>
        </w:rPr>
        <w:t>P</w:t>
      </w:r>
      <w:r w:rsidR="000C6377">
        <w:rPr>
          <w:i/>
        </w:rPr>
        <w:t>.</w:t>
      </w:r>
      <w:r w:rsidRPr="000C6377">
        <w:rPr>
          <w:i/>
        </w:rPr>
        <w:t xml:space="preserve"> </w:t>
      </w:r>
      <w:proofErr w:type="spellStart"/>
      <w:r w:rsidRPr="000C6377">
        <w:rPr>
          <w:i/>
        </w:rPr>
        <w:t>aeruginosa</w:t>
      </w:r>
      <w:proofErr w:type="spellEnd"/>
      <w:r w:rsidRPr="004955CE">
        <w:t xml:space="preserve"> infection; and</w:t>
      </w:r>
    </w:p>
    <w:p w14:paraId="260A86E8" w14:textId="77777777" w:rsidR="0096617F" w:rsidRPr="004955CE" w:rsidRDefault="0096617F" w:rsidP="000421B1">
      <w:pPr>
        <w:pStyle w:val="ListParagraph"/>
        <w:numPr>
          <w:ilvl w:val="0"/>
          <w:numId w:val="7"/>
        </w:numPr>
      </w:pPr>
      <w:proofErr w:type="gramStart"/>
      <w:r w:rsidRPr="004955CE">
        <w:t>success</w:t>
      </w:r>
      <w:proofErr w:type="gramEnd"/>
      <w:r w:rsidRPr="004955CE">
        <w:t xml:space="preserve"> rate of eradiation therapy and re-treatment where eradication has not been successful. </w:t>
      </w:r>
    </w:p>
    <w:p w14:paraId="7CE63171" w14:textId="7EF15D01" w:rsidR="0096617F" w:rsidRPr="004955CE" w:rsidRDefault="008C3D61" w:rsidP="0096617F">
      <w:r>
        <w:t xml:space="preserve">The </w:t>
      </w:r>
      <w:r w:rsidRPr="008C3D61">
        <w:t xml:space="preserve">DUSC considered that the time to next dispensing analysis was consistent with older children having longer eradication protocols, and that the concern raised by the PBAC </w:t>
      </w:r>
      <w:r w:rsidRPr="008C3D61">
        <w:lastRenderedPageBreak/>
        <w:t>regarding the possibility of continuous use rather than cyclical 28 days on/28 days off use, does not appear to be occurring in the PBS population.</w:t>
      </w:r>
      <w:r w:rsidR="0096617F" w:rsidRPr="004955CE">
        <w:t xml:space="preserve"> </w:t>
      </w:r>
    </w:p>
    <w:p w14:paraId="2603C0FA" w14:textId="44522DA2" w:rsidR="0096617F" w:rsidRPr="004955CE" w:rsidRDefault="0096617F" w:rsidP="0096617F">
      <w:r w:rsidRPr="004955CE">
        <w:t xml:space="preserve">The utilisation patterns of TSI may have been influenced by clinical trials and/or compassionate use of tobramycin inhalation powder. </w:t>
      </w:r>
      <w:r w:rsidR="00D513B2">
        <w:t xml:space="preserve"> </w:t>
      </w:r>
      <w:r w:rsidRPr="004955CE">
        <w:t>A number of Australian sites participated in the tobramycin inhalation powder trials.</w:t>
      </w:r>
      <w:r w:rsidRPr="004955CE">
        <w:rPr>
          <w:rStyle w:val="FootnoteReference"/>
        </w:rPr>
        <w:footnoteReference w:id="5"/>
      </w:r>
      <w:r w:rsidR="00D513B2">
        <w:t xml:space="preserve">  </w:t>
      </w:r>
      <w:r w:rsidRPr="004955CE">
        <w:t>Tobramycin powder for inhalation (TI</w:t>
      </w:r>
      <w:r w:rsidR="008A0D90">
        <w:t xml:space="preserve">P, Tobi </w:t>
      </w:r>
      <w:proofErr w:type="spellStart"/>
      <w:r w:rsidR="008A0D90">
        <w:t>Podhaler</w:t>
      </w:r>
      <w:proofErr w:type="spellEnd"/>
      <w:r w:rsidR="008A0D90">
        <w:t xml:space="preserve">®) was </w:t>
      </w:r>
      <w:r w:rsidRPr="004955CE">
        <w:t>l</w:t>
      </w:r>
      <w:r w:rsidR="008A0D90">
        <w:t>isted on the PBS</w:t>
      </w:r>
      <w:r w:rsidR="002744E9">
        <w:t xml:space="preserve"> on 1 April 2014.</w:t>
      </w:r>
    </w:p>
    <w:p w14:paraId="4D926805" w14:textId="36BED00F" w:rsidR="0096617F" w:rsidRPr="00904E71" w:rsidRDefault="0096617F" w:rsidP="0096617F">
      <w:r>
        <w:t>The number of tobramycin injection prescriptions and DDDs supplied on the PBS appears to have decreased since TSI listing.</w:t>
      </w:r>
      <w:r w:rsidR="00D513B2">
        <w:t xml:space="preserve"> </w:t>
      </w:r>
      <w:r>
        <w:t xml:space="preserve"> There has been further decline in use of injectable tobramycin in the second year since TSI has been available. </w:t>
      </w:r>
      <w:r w:rsidR="00D513B2">
        <w:t xml:space="preserve"> </w:t>
      </w:r>
      <w:r>
        <w:t>The Sponso</w:t>
      </w:r>
      <w:r w:rsidR="00497E5C">
        <w:t>r response from the 12 month predicted versus actual analysis</w:t>
      </w:r>
      <w:r>
        <w:t xml:space="preserve"> noted that </w:t>
      </w:r>
      <w:r w:rsidRPr="00FA4166">
        <w:t>physicians would aim to switch the majority of their patients inhaling the I</w:t>
      </w:r>
      <w:r w:rsidR="00F8419C">
        <w:t>.</w:t>
      </w:r>
      <w:r w:rsidRPr="00FA4166">
        <w:t>V</w:t>
      </w:r>
      <w:r w:rsidR="00F8419C">
        <w:t>.</w:t>
      </w:r>
      <w:r w:rsidR="002B6AC3">
        <w:t xml:space="preserve"> form of tobramycin</w:t>
      </w:r>
      <w:r w:rsidRPr="00FA4166">
        <w:t xml:space="preserve"> over to TSI at their next clinic visit</w:t>
      </w:r>
      <w:r>
        <w:t xml:space="preserve"> (</w:t>
      </w:r>
      <w:r w:rsidRPr="001D75C5">
        <w:t>after PBS listing of TSI</w:t>
      </w:r>
      <w:r w:rsidR="00F8419C">
        <w:t xml:space="preserve">).  </w:t>
      </w:r>
      <w:r>
        <w:t xml:space="preserve">The declining use of injectable tobramycin may be due to decline in for use infections other than </w:t>
      </w:r>
      <w:r w:rsidRPr="00D22B74">
        <w:rPr>
          <w:i/>
        </w:rPr>
        <w:t xml:space="preserve">P. </w:t>
      </w:r>
      <w:proofErr w:type="spellStart"/>
      <w:r w:rsidRPr="00D22B74">
        <w:rPr>
          <w:i/>
        </w:rPr>
        <w:t>aeruginosa</w:t>
      </w:r>
      <w:proofErr w:type="spellEnd"/>
      <w:r>
        <w:rPr>
          <w:i/>
        </w:rPr>
        <w:t xml:space="preserve"> </w:t>
      </w:r>
      <w:r>
        <w:t xml:space="preserve">in CF patients. </w:t>
      </w:r>
    </w:p>
    <w:p w14:paraId="3A74B465" w14:textId="5C201DBF" w:rsidR="007346C7" w:rsidRDefault="00957837" w:rsidP="00FD13CD">
      <w:pPr>
        <w:pStyle w:val="Heading3"/>
      </w:pPr>
      <w:r>
        <w:t>DUSC actions</w:t>
      </w:r>
    </w:p>
    <w:p w14:paraId="45853B90" w14:textId="318B7BE7" w:rsidR="00D51763" w:rsidRDefault="00B1504C" w:rsidP="00630071">
      <w:pPr>
        <w:pStyle w:val="ListParagraph"/>
        <w:numPr>
          <w:ilvl w:val="0"/>
          <w:numId w:val="8"/>
        </w:numPr>
        <w:ind w:left="426" w:hanging="426"/>
      </w:pPr>
      <w:r>
        <w:t xml:space="preserve">The </w:t>
      </w:r>
      <w:r w:rsidR="00D51763">
        <w:t xml:space="preserve">DUSC considered it appropriate to analyse the utilisation of tobramycin products for cystic fibrosis when two years of utilisation data are available for Tobi </w:t>
      </w:r>
      <w:proofErr w:type="spellStart"/>
      <w:r w:rsidR="005F488D">
        <w:t>Podhaler</w:t>
      </w:r>
      <w:proofErr w:type="spellEnd"/>
      <w:r w:rsidR="005F488D">
        <w:rPr>
          <w:vertAlign w:val="superscript"/>
        </w:rPr>
        <w:t>®</w:t>
      </w:r>
      <w:r w:rsidR="00B9592A">
        <w:t xml:space="preserve">.  Tobi </w:t>
      </w:r>
      <w:proofErr w:type="spellStart"/>
      <w:r w:rsidR="00B9592A">
        <w:t>Podhaler</w:t>
      </w:r>
      <w:proofErr w:type="spellEnd"/>
      <w:r w:rsidR="00B9592A">
        <w:rPr>
          <w:vertAlign w:val="superscript"/>
        </w:rPr>
        <w:t xml:space="preserve">® </w:t>
      </w:r>
      <w:r w:rsidR="00B9592A">
        <w:t>was listed on the PBS on 1 April 2014.</w:t>
      </w:r>
    </w:p>
    <w:p w14:paraId="6D61D4FB" w14:textId="77777777" w:rsidR="008D3E72" w:rsidRDefault="008D3E72" w:rsidP="008D3E72">
      <w:pPr>
        <w:pStyle w:val="ListParagraph"/>
        <w:ind w:left="426"/>
      </w:pPr>
    </w:p>
    <w:p w14:paraId="616304D4" w14:textId="4F1D23AF" w:rsidR="002310AD" w:rsidRPr="002310AD" w:rsidRDefault="00B1504C" w:rsidP="00630071">
      <w:pPr>
        <w:pStyle w:val="ListParagraph"/>
        <w:numPr>
          <w:ilvl w:val="0"/>
          <w:numId w:val="8"/>
        </w:numPr>
        <w:ind w:left="426" w:hanging="426"/>
      </w:pPr>
      <w:r>
        <w:t xml:space="preserve">The </w:t>
      </w:r>
      <w:r w:rsidR="00D51763">
        <w:t>DUSC referred the report to PBAC for information.</w:t>
      </w:r>
    </w:p>
    <w:p w14:paraId="75A03124" w14:textId="77777777" w:rsidR="001B50CA" w:rsidRPr="0092516A" w:rsidRDefault="001B50CA" w:rsidP="00FD13CD">
      <w:pPr>
        <w:pStyle w:val="Heading3"/>
      </w:pPr>
      <w:r w:rsidRPr="0092516A">
        <w:t>Context for analysis</w:t>
      </w:r>
    </w:p>
    <w:p w14:paraId="1D8A2B2A" w14:textId="77777777" w:rsidR="001B50CA" w:rsidRPr="00241E48" w:rsidRDefault="001B50CA" w:rsidP="001B50CA">
      <w:pPr>
        <w:spacing w:after="240"/>
        <w:rPr>
          <w:rFonts w:eastAsiaTheme="majorEastAsia" w:cstheme="majorBidi"/>
          <w:bCs/>
        </w:rPr>
      </w:pPr>
      <w:r w:rsidRPr="00241E48">
        <w:rPr>
          <w:rFonts w:eastAsiaTheme="majorEastAsia" w:cstheme="majorBidi"/>
          <w:bCs/>
        </w:rPr>
        <w:t>The DUSC is a Sub Committee of the Pharmaceutical Benefits Advisory Committee (PBAC). The DUSC assesses estimates on projected usage an</w:t>
      </w:r>
      <w:r>
        <w:rPr>
          <w:rFonts w:eastAsiaTheme="majorEastAsia" w:cstheme="majorBidi"/>
          <w:bCs/>
        </w:rPr>
        <w:t>d financial cost of medicines.</w:t>
      </w:r>
    </w:p>
    <w:p w14:paraId="58A6B21D" w14:textId="77777777" w:rsidR="001B50CA" w:rsidRPr="00241E48" w:rsidRDefault="001B50CA" w:rsidP="001B50CA">
      <w:pPr>
        <w:spacing w:after="240"/>
        <w:rPr>
          <w:rFonts w:eastAsiaTheme="majorEastAsia" w:cstheme="majorBidi"/>
          <w:bCs/>
        </w:rPr>
      </w:pPr>
      <w:r w:rsidRPr="00241E48">
        <w:rPr>
          <w:rFonts w:eastAsiaTheme="majorEastAsia" w:cstheme="majorBidi"/>
          <w:bCs/>
        </w:rP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0E0BE3CC" w14:textId="77777777" w:rsidR="001B50CA" w:rsidRDefault="001B50CA" w:rsidP="001B50CA">
      <w:pPr>
        <w:spacing w:after="240"/>
        <w:rPr>
          <w:rFonts w:eastAsiaTheme="majorEastAsia" w:cstheme="majorBidi"/>
          <w:bCs/>
        </w:rPr>
      </w:pPr>
      <w:r w:rsidRPr="00241E48">
        <w:rPr>
          <w:rFonts w:eastAsiaTheme="majorEastAsia" w:cstheme="majorBidi"/>
          <w:bCs/>
        </w:rP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32A85FF2" w14:textId="77777777" w:rsidR="00C75822" w:rsidRDefault="00C75822" w:rsidP="00C75822">
      <w:pPr>
        <w:spacing w:after="0"/>
        <w:rPr>
          <w:rFonts w:eastAsiaTheme="majorEastAsia" w:cstheme="majorBidi"/>
          <w:bCs/>
        </w:rPr>
      </w:pPr>
      <w:r>
        <w:rPr>
          <w:rFonts w:eastAsiaTheme="majorEastAsia" w:cstheme="majorBidi"/>
          <w:bCs/>
        </w:rPr>
        <w:t xml:space="preserve">The </w:t>
      </w:r>
      <w:r w:rsidRPr="00CB5441">
        <w:rPr>
          <w:rFonts w:eastAsiaTheme="majorEastAsia" w:cstheme="majorBidi"/>
          <w:bCs/>
        </w:rPr>
        <w:t xml:space="preserve">utilisation </w:t>
      </w:r>
      <w:r>
        <w:rPr>
          <w:rFonts w:eastAsiaTheme="majorEastAsia" w:cstheme="majorBidi"/>
          <w:bCs/>
        </w:rPr>
        <w:t>analysis report was</w:t>
      </w:r>
      <w:r w:rsidRPr="00CB5441">
        <w:rPr>
          <w:rFonts w:eastAsiaTheme="majorEastAsia" w:cstheme="majorBidi"/>
          <w:bCs/>
        </w:rPr>
        <w:t xml:space="preserve"> provided to the pharmaceutical sponsors of each d</w:t>
      </w:r>
      <w:r>
        <w:rPr>
          <w:rFonts w:eastAsiaTheme="majorEastAsia" w:cstheme="majorBidi"/>
          <w:bCs/>
        </w:rPr>
        <w:t xml:space="preserve">rug and comments on the report </w:t>
      </w:r>
      <w:r w:rsidRPr="00CB5441">
        <w:rPr>
          <w:rFonts w:eastAsiaTheme="majorEastAsia" w:cstheme="majorBidi"/>
          <w:bCs/>
        </w:rPr>
        <w:t>were provided to DUSC</w:t>
      </w:r>
      <w:r>
        <w:rPr>
          <w:rFonts w:eastAsiaTheme="majorEastAsia" w:cstheme="majorBidi"/>
          <w:bCs/>
        </w:rPr>
        <w:t xml:space="preserve"> prior to its consideration of the analysis.</w:t>
      </w:r>
    </w:p>
    <w:p w14:paraId="44EFDCE9" w14:textId="7F3BE0DA" w:rsidR="003529E0" w:rsidRDefault="003529E0" w:rsidP="00FD13CD">
      <w:pPr>
        <w:pStyle w:val="Heading3"/>
      </w:pPr>
      <w:r>
        <w:lastRenderedPageBreak/>
        <w:t>Sponsor</w:t>
      </w:r>
      <w:r w:rsidR="00823828">
        <w:t>’</w:t>
      </w:r>
      <w:r w:rsidRPr="0092516A">
        <w:t>s comment</w:t>
      </w:r>
    </w:p>
    <w:p w14:paraId="6950877A" w14:textId="0F567662" w:rsidR="00CF68EC" w:rsidRPr="00CF68EC" w:rsidRDefault="001831D0" w:rsidP="0090010F">
      <w:r w:rsidRPr="001831D0">
        <w:t>Novartis Pharmaceuticals Australia Pty Limited</w:t>
      </w:r>
      <w:r>
        <w:t xml:space="preserve">:  </w:t>
      </w:r>
      <w:r w:rsidR="00CF68EC" w:rsidRPr="00CF68EC">
        <w:t>Novartis is pleased that patients with cystic fibrosis have been able to access PBS-subsidised TSI since October 2011. The number of patients treated in the first two years of PBS listing has been close to what was estimated through utilising data from the Australian Cystic Fibrosis Data Registry.</w:t>
      </w:r>
    </w:p>
    <w:p w14:paraId="25D65B04" w14:textId="1B97A568" w:rsidR="00FE645A" w:rsidRDefault="00A4020E" w:rsidP="001B4788">
      <w:pPr>
        <w:pStyle w:val="Heading3"/>
      </w:pPr>
      <w:r w:rsidRPr="00A4020E">
        <w:t>Disclaimer</w:t>
      </w:r>
    </w:p>
    <w:p w14:paraId="477D7D94" w14:textId="739898AB" w:rsidR="000B268E" w:rsidRPr="000B268E" w:rsidRDefault="000B268E" w:rsidP="00DF189B">
      <w:r w:rsidRPr="000B268E">
        <w:t>The information provided in this report does not constitute medical advice and is not intended to take the place of profe</w:t>
      </w:r>
      <w:r w:rsidR="00F11CFC">
        <w:t xml:space="preserve">ssional medical advice or care.  </w:t>
      </w:r>
      <w:r w:rsidRPr="000B268E">
        <w:t>It is not intended to define what constitutes reasonable, appropriate or best care for any individual for any given health issue.</w:t>
      </w:r>
      <w:r w:rsidR="00E628EA">
        <w:t xml:space="preserve">  </w:t>
      </w:r>
      <w:r w:rsidRPr="000B268E">
        <w:t>The information should not be used as a substitute for the judgement and skill of a medical practitioner.</w:t>
      </w:r>
    </w:p>
    <w:p w14:paraId="34477926" w14:textId="601956EB" w:rsidR="000B268E" w:rsidRPr="000B268E" w:rsidRDefault="000B268E" w:rsidP="00DF189B">
      <w:r w:rsidRPr="000B268E">
        <w:t>The Department of Health (</w:t>
      </w:r>
      <w:proofErr w:type="spellStart"/>
      <w:r w:rsidRPr="000B268E">
        <w:t>DoH</w:t>
      </w:r>
      <w:proofErr w:type="spellEnd"/>
      <w:r w:rsidRPr="000B268E">
        <w:t>) has made all reasonable efforts to ensure that information provided in this report is accurate. The information provided in this report was up-to-date when it was considered by the Drug Utilisation Sub-committee of the Pharmaceutic</w:t>
      </w:r>
      <w:r w:rsidR="00F11CFC">
        <w:t xml:space="preserve">al Benefits Advisory Committee.  </w:t>
      </w:r>
      <w:r w:rsidRPr="000B268E">
        <w:t>The context for that information may have changed since publication.</w:t>
      </w:r>
    </w:p>
    <w:p w14:paraId="34FF6D3D" w14:textId="77777777" w:rsidR="000B268E" w:rsidRPr="000B268E" w:rsidRDefault="000B268E" w:rsidP="00DF189B">
      <w:r w:rsidRPr="000B268E">
        <w:t xml:space="preserve">To the extent provided by law, </w:t>
      </w:r>
      <w:proofErr w:type="spellStart"/>
      <w:r w:rsidRPr="000B268E">
        <w:t>DoH</w:t>
      </w:r>
      <w:proofErr w:type="spellEnd"/>
      <w:r w:rsidRPr="000B268E">
        <w:t xml:space="preserve"> makes no warranties or representations as to accuracy or completeness of information contained in this report. </w:t>
      </w:r>
    </w:p>
    <w:p w14:paraId="23B151A3" w14:textId="2D510342" w:rsidR="005C4023" w:rsidRPr="009F4630" w:rsidRDefault="000B268E" w:rsidP="00DF189B">
      <w:r w:rsidRPr="000B268E">
        <w:t xml:space="preserve">To the fullest extent permitted by law, neither the </w:t>
      </w:r>
      <w:proofErr w:type="spellStart"/>
      <w:r w:rsidRPr="000B268E">
        <w:t>DoH</w:t>
      </w:r>
      <w:proofErr w:type="spellEnd"/>
      <w:r w:rsidRPr="000B268E">
        <w:t xml:space="preserve"> nor any </w:t>
      </w:r>
      <w:proofErr w:type="spellStart"/>
      <w:r w:rsidRPr="000B268E">
        <w:t>DoH</w:t>
      </w:r>
      <w:proofErr w:type="spellEnd"/>
      <w:r w:rsidRPr="000B268E">
        <w:t xml:space="preserv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sectPr w:rsidR="005C4023" w:rsidRPr="009F4630" w:rsidSect="00945324">
      <w:headerReference w:type="even" r:id="rId19"/>
      <w:headerReference w:type="default" r:id="rId20"/>
      <w:footerReference w:type="even" r:id="rId21"/>
      <w:footerReference w:type="default" r:id="rId22"/>
      <w:headerReference w:type="first" r:id="rId23"/>
      <w:footerReference w:type="first" r:id="rId24"/>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350FC2" w14:textId="77777777" w:rsidR="00214013" w:rsidRDefault="00214013" w:rsidP="00A35800">
      <w:r>
        <w:separator/>
      </w:r>
    </w:p>
  </w:endnote>
  <w:endnote w:type="continuationSeparator" w:id="0">
    <w:p w14:paraId="45A4A8C8" w14:textId="77777777" w:rsidR="00214013" w:rsidRDefault="00214013"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49D5E5" w14:textId="77777777" w:rsidR="00214013" w:rsidRDefault="00214013"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214013" w:rsidRDefault="00214013" w:rsidP="00A358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2419521"/>
      <w:docPartObj>
        <w:docPartGallery w:val="Page Numbers (Bottom of Page)"/>
        <w:docPartUnique/>
      </w:docPartObj>
    </w:sdtPr>
    <w:sdtEndPr/>
    <w:sdtContent>
      <w:sdt>
        <w:sdtPr>
          <w:id w:val="860082579"/>
          <w:docPartObj>
            <w:docPartGallery w:val="Page Numbers (Top of Page)"/>
            <w:docPartUnique/>
          </w:docPartObj>
        </w:sdtPr>
        <w:sdtEndPr/>
        <w:sdtContent>
          <w:p w14:paraId="2C33146D" w14:textId="77A8C8E3" w:rsidR="00CB6ABE" w:rsidRPr="00CB6ABE" w:rsidRDefault="00CB6ABE" w:rsidP="00CB6ABE">
            <w:pPr>
              <w:pStyle w:val="Footer"/>
              <w:jc w:val="center"/>
              <w:rPr>
                <w:i/>
                <w:sz w:val="20"/>
                <w:szCs w:val="20"/>
              </w:rPr>
            </w:pPr>
            <w:r>
              <w:rPr>
                <w:i/>
                <w:sz w:val="20"/>
                <w:szCs w:val="20"/>
              </w:rPr>
              <w:t>Pub</w:t>
            </w:r>
            <w:r w:rsidR="00CD5DF8">
              <w:rPr>
                <w:i/>
                <w:sz w:val="20"/>
                <w:szCs w:val="20"/>
              </w:rPr>
              <w:t>lic Release Document, October 2014</w:t>
            </w:r>
            <w:r>
              <w:rPr>
                <w:i/>
                <w:sz w:val="20"/>
                <w:szCs w:val="20"/>
              </w:rPr>
              <w:t xml:space="preserve"> DUSC Meeting</w:t>
            </w:r>
          </w:p>
          <w:p w14:paraId="16541DE1" w14:textId="3EA36B32" w:rsidR="00214013" w:rsidRDefault="00CB6ABE" w:rsidP="00CB6ABE">
            <w:pPr>
              <w:pStyle w:val="Footer"/>
              <w:jc w:val="center"/>
            </w:pPr>
            <w:r w:rsidRPr="00CB6ABE">
              <w:rPr>
                <w:i/>
                <w:sz w:val="20"/>
                <w:szCs w:val="20"/>
              </w:rPr>
              <w:t xml:space="preserve">Page </w:t>
            </w:r>
            <w:r w:rsidRPr="00CB6ABE">
              <w:rPr>
                <w:bCs/>
                <w:i/>
                <w:sz w:val="20"/>
                <w:szCs w:val="20"/>
              </w:rPr>
              <w:fldChar w:fldCharType="begin"/>
            </w:r>
            <w:r w:rsidRPr="00CB6ABE">
              <w:rPr>
                <w:bCs/>
                <w:i/>
                <w:sz w:val="20"/>
                <w:szCs w:val="20"/>
              </w:rPr>
              <w:instrText xml:space="preserve"> PAGE </w:instrText>
            </w:r>
            <w:r w:rsidRPr="00CB6ABE">
              <w:rPr>
                <w:bCs/>
                <w:i/>
                <w:sz w:val="20"/>
                <w:szCs w:val="20"/>
              </w:rPr>
              <w:fldChar w:fldCharType="separate"/>
            </w:r>
            <w:r w:rsidR="00B023BC">
              <w:rPr>
                <w:bCs/>
                <w:i/>
                <w:noProof/>
                <w:sz w:val="20"/>
                <w:szCs w:val="20"/>
              </w:rPr>
              <w:t>13</w:t>
            </w:r>
            <w:r w:rsidRPr="00CB6ABE">
              <w:rPr>
                <w:bCs/>
                <w:i/>
                <w:sz w:val="20"/>
                <w:szCs w:val="20"/>
              </w:rPr>
              <w:fldChar w:fldCharType="end"/>
            </w:r>
            <w:r w:rsidRPr="00CB6ABE">
              <w:rPr>
                <w:i/>
                <w:sz w:val="20"/>
                <w:szCs w:val="20"/>
              </w:rPr>
              <w:t xml:space="preserve"> of </w:t>
            </w:r>
            <w:r w:rsidRPr="00CB6ABE">
              <w:rPr>
                <w:bCs/>
                <w:i/>
                <w:sz w:val="20"/>
                <w:szCs w:val="20"/>
              </w:rPr>
              <w:fldChar w:fldCharType="begin"/>
            </w:r>
            <w:r w:rsidRPr="00CB6ABE">
              <w:rPr>
                <w:bCs/>
                <w:i/>
                <w:sz w:val="20"/>
                <w:szCs w:val="20"/>
              </w:rPr>
              <w:instrText xml:space="preserve"> NUMPAGES  </w:instrText>
            </w:r>
            <w:r w:rsidRPr="00CB6ABE">
              <w:rPr>
                <w:bCs/>
                <w:i/>
                <w:sz w:val="20"/>
                <w:szCs w:val="20"/>
              </w:rPr>
              <w:fldChar w:fldCharType="separate"/>
            </w:r>
            <w:r w:rsidR="00B023BC">
              <w:rPr>
                <w:bCs/>
                <w:i/>
                <w:noProof/>
                <w:sz w:val="20"/>
                <w:szCs w:val="20"/>
              </w:rPr>
              <w:t>13</w:t>
            </w:r>
            <w:r w:rsidRPr="00CB6ABE">
              <w:rPr>
                <w:bCs/>
                <w:i/>
                <w:sz w:val="20"/>
                <w:szCs w:val="20"/>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C28AF8" w14:textId="1896DD8B" w:rsidR="00945324" w:rsidRDefault="00945324">
    <w:pPr>
      <w:pStyle w:val="Footer"/>
    </w:pPr>
    <w:r>
      <w:t>Last updated 3 July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75EEDE" w14:textId="77777777" w:rsidR="00214013" w:rsidRDefault="00214013" w:rsidP="00A35800">
      <w:r>
        <w:separator/>
      </w:r>
    </w:p>
  </w:footnote>
  <w:footnote w:type="continuationSeparator" w:id="0">
    <w:p w14:paraId="7E2CA1E4" w14:textId="77777777" w:rsidR="00214013" w:rsidRDefault="00214013" w:rsidP="00A35800">
      <w:r>
        <w:continuationSeparator/>
      </w:r>
    </w:p>
  </w:footnote>
  <w:footnote w:id="1">
    <w:p w14:paraId="385DA0AB" w14:textId="5B3B77FE" w:rsidR="000A17ED" w:rsidRDefault="000A17ED">
      <w:pPr>
        <w:pStyle w:val="FootnoteText"/>
      </w:pPr>
      <w:r>
        <w:rPr>
          <w:rStyle w:val="FootnoteReference"/>
        </w:rPr>
        <w:footnoteRef/>
      </w:r>
      <w:r>
        <w:t xml:space="preserve"> </w:t>
      </w:r>
      <w:r w:rsidR="004B321D">
        <w:t>Tobi (tobramycin) Australian approved product information.</w:t>
      </w:r>
      <w:r w:rsidR="00B201A2">
        <w:t xml:space="preserve"> Sydney: Novartis Pharmaceuticals Australia Pty Ltd. Approved 27 February 2012 and amended 5 November 2013. </w:t>
      </w:r>
      <w:proofErr w:type="gramStart"/>
      <w:r w:rsidR="00B201A2">
        <w:t>Available from &lt;</w:t>
      </w:r>
      <w:hyperlink r:id="rId1" w:history="1">
        <w:r w:rsidR="00B201A2" w:rsidRPr="000025B2">
          <w:rPr>
            <w:rStyle w:val="Hyperlink"/>
          </w:rPr>
          <w:t>https://www.ebs.tga.gov.au</w:t>
        </w:r>
      </w:hyperlink>
      <w:r w:rsidR="00B201A2">
        <w:t>&gt;.</w:t>
      </w:r>
      <w:proofErr w:type="gramEnd"/>
      <w:r w:rsidR="00153699">
        <w:t xml:space="preserve"> </w:t>
      </w:r>
      <w:proofErr w:type="gramStart"/>
      <w:r w:rsidR="00153699">
        <w:t>Accessed 3 July 2014.</w:t>
      </w:r>
      <w:proofErr w:type="gramEnd"/>
    </w:p>
  </w:footnote>
  <w:footnote w:id="2">
    <w:p w14:paraId="1F99FEC9" w14:textId="087E83C1" w:rsidR="006A5CFE" w:rsidRDefault="006A5CFE">
      <w:pPr>
        <w:pStyle w:val="FootnoteText"/>
      </w:pPr>
      <w:r>
        <w:rPr>
          <w:rStyle w:val="FootnoteReference"/>
        </w:rPr>
        <w:footnoteRef/>
      </w:r>
      <w:r>
        <w:t xml:space="preserve"> </w:t>
      </w:r>
      <w:proofErr w:type="gramStart"/>
      <w:r w:rsidR="00C53F2B">
        <w:t>Cystic Fibrosis Australia.</w:t>
      </w:r>
      <w:proofErr w:type="gramEnd"/>
      <w:r w:rsidR="00C53F2B">
        <w:t xml:space="preserve"> </w:t>
      </w:r>
      <w:proofErr w:type="gramStart"/>
      <w:r>
        <w:t>Cystic Fibrosis in Australia 2012.</w:t>
      </w:r>
      <w:proofErr w:type="gramEnd"/>
      <w:r>
        <w:t xml:space="preserve"> </w:t>
      </w:r>
      <w:proofErr w:type="gramStart"/>
      <w:r w:rsidR="00C53F2B">
        <w:t>15</w:t>
      </w:r>
      <w:r w:rsidR="00C53F2B" w:rsidRPr="00C53F2B">
        <w:rPr>
          <w:vertAlign w:val="superscript"/>
        </w:rPr>
        <w:t>th</w:t>
      </w:r>
      <w:r w:rsidR="00C53F2B">
        <w:t xml:space="preserve"> Annual Report from the Australian Cystic Fibrosis Data Registry.</w:t>
      </w:r>
      <w:proofErr w:type="gramEnd"/>
      <w:r w:rsidR="00C53F2B">
        <w:t xml:space="preserve"> </w:t>
      </w:r>
      <w:proofErr w:type="gramStart"/>
      <w:r w:rsidR="00C53F2B">
        <w:t xml:space="preserve">Cystic Fibrosis Australia; </w:t>
      </w:r>
      <w:r>
        <w:t>2013.</w:t>
      </w:r>
      <w:proofErr w:type="gramEnd"/>
      <w:r>
        <w:t xml:space="preserve"> </w:t>
      </w:r>
      <w:proofErr w:type="gramStart"/>
      <w:r>
        <w:t xml:space="preserve">Available from </w:t>
      </w:r>
      <w:r w:rsidR="001462D8">
        <w:t>&lt;</w:t>
      </w:r>
      <w:hyperlink r:id="rId2" w:history="1">
        <w:r w:rsidRPr="0079082C">
          <w:rPr>
            <w:rStyle w:val="Hyperlink"/>
          </w:rPr>
          <w:t>http://www.cysticfibrosis.org.au/data-registry</w:t>
        </w:r>
      </w:hyperlink>
      <w:r w:rsidR="00D2789D" w:rsidRPr="00D2789D">
        <w:rPr>
          <w:rStyle w:val="Hyperlink"/>
          <w:color w:val="auto"/>
          <w:u w:val="none"/>
        </w:rPr>
        <w:t>&gt;</w:t>
      </w:r>
      <w:r>
        <w:t>.</w:t>
      </w:r>
      <w:proofErr w:type="gramEnd"/>
      <w:r w:rsidR="00C53F2B">
        <w:t xml:space="preserve"> </w:t>
      </w:r>
      <w:proofErr w:type="gramStart"/>
      <w:r>
        <w:t>Accessed 4 July 2014.</w:t>
      </w:r>
      <w:proofErr w:type="gramEnd"/>
    </w:p>
  </w:footnote>
  <w:footnote w:id="3">
    <w:p w14:paraId="4D2182E8" w14:textId="23F52955" w:rsidR="002D3EC5" w:rsidRDefault="002D3EC5">
      <w:pPr>
        <w:pStyle w:val="FootnoteText"/>
      </w:pPr>
      <w:r>
        <w:rPr>
          <w:rStyle w:val="FootnoteReference"/>
        </w:rPr>
        <w:footnoteRef/>
      </w:r>
      <w:r>
        <w:t xml:space="preserve"> </w:t>
      </w:r>
      <w:r w:rsidRPr="002D3EC5">
        <w:t xml:space="preserve">Li Z, </w:t>
      </w:r>
      <w:proofErr w:type="spellStart"/>
      <w:r w:rsidRPr="002D3EC5">
        <w:t>Kosorok</w:t>
      </w:r>
      <w:proofErr w:type="spellEnd"/>
      <w:r w:rsidRPr="002D3EC5">
        <w:t xml:space="preserve"> MR, Farrell PM, </w:t>
      </w:r>
      <w:proofErr w:type="spellStart"/>
      <w:r w:rsidRPr="002D3EC5">
        <w:t>Laxova</w:t>
      </w:r>
      <w:proofErr w:type="spellEnd"/>
      <w:r w:rsidRPr="002D3EC5">
        <w:t xml:space="preserve"> A, West SE, Green CG, Collins J, Rock MJ, </w:t>
      </w:r>
      <w:proofErr w:type="spellStart"/>
      <w:r w:rsidRPr="002D3EC5">
        <w:t>Splaingard</w:t>
      </w:r>
      <w:proofErr w:type="spellEnd"/>
      <w:r w:rsidRPr="002D3EC5">
        <w:t xml:space="preserve"> ML. Longitudinal development of </w:t>
      </w:r>
      <w:proofErr w:type="spellStart"/>
      <w:r w:rsidRPr="002D3EC5">
        <w:t>mucoid</w:t>
      </w:r>
      <w:proofErr w:type="spellEnd"/>
      <w:r w:rsidRPr="002D3EC5">
        <w:t xml:space="preserve"> </w:t>
      </w:r>
      <w:r w:rsidRPr="00547DEA">
        <w:rPr>
          <w:i/>
        </w:rPr>
        <w:t xml:space="preserve">Pseudomonas </w:t>
      </w:r>
      <w:proofErr w:type="spellStart"/>
      <w:r w:rsidRPr="00547DEA">
        <w:rPr>
          <w:i/>
        </w:rPr>
        <w:t>aeruginosa</w:t>
      </w:r>
      <w:proofErr w:type="spellEnd"/>
      <w:r w:rsidRPr="002D3EC5">
        <w:t xml:space="preserve"> infection and lung disease progression in child</w:t>
      </w:r>
      <w:r w:rsidR="00760059">
        <w:t xml:space="preserve">ren with cystic fibrosis. JAMA </w:t>
      </w:r>
      <w:r w:rsidRPr="002D3EC5">
        <w:t>2005</w:t>
      </w:r>
      <w:r w:rsidR="00760059">
        <w:t xml:space="preserve">; </w:t>
      </w:r>
      <w:r w:rsidRPr="002D3EC5">
        <w:t>293(5):</w:t>
      </w:r>
      <w:r w:rsidR="00760059">
        <w:t xml:space="preserve"> </w:t>
      </w:r>
      <w:r w:rsidRPr="002D3EC5">
        <w:t>581-8.</w:t>
      </w:r>
    </w:p>
  </w:footnote>
  <w:footnote w:id="4">
    <w:p w14:paraId="4ABBD8F1" w14:textId="4ECB0F3F" w:rsidR="00625138" w:rsidRDefault="00625138">
      <w:pPr>
        <w:pStyle w:val="FootnoteText"/>
      </w:pPr>
      <w:r>
        <w:rPr>
          <w:rStyle w:val="FootnoteReference"/>
        </w:rPr>
        <w:footnoteRef/>
      </w:r>
      <w:r>
        <w:t xml:space="preserve"> </w:t>
      </w:r>
      <w:r w:rsidR="00201CB9">
        <w:t xml:space="preserve">The Royal Children’s Hospital Melbourne. </w:t>
      </w:r>
      <w:proofErr w:type="spellStart"/>
      <w:r w:rsidR="00201CB9">
        <w:t>Ranganathan</w:t>
      </w:r>
      <w:proofErr w:type="spellEnd"/>
      <w:r w:rsidR="00201CB9">
        <w:t xml:space="preserve"> S, editor. </w:t>
      </w:r>
      <w:proofErr w:type="gramStart"/>
      <w:r w:rsidRPr="00625138">
        <w:t>Melbourne Handbook for the Management of Children with Cystic Fibrosis.</w:t>
      </w:r>
      <w:proofErr w:type="gramEnd"/>
      <w:r w:rsidR="00201CB9">
        <w:t xml:space="preserve"> </w:t>
      </w:r>
      <w:proofErr w:type="gramStart"/>
      <w:r w:rsidR="00201CB9">
        <w:t xml:space="preserve">Melbourne; </w:t>
      </w:r>
      <w:r w:rsidRPr="00625138">
        <w:t>20</w:t>
      </w:r>
      <w:r w:rsidR="00FC429E">
        <w:t>06.</w:t>
      </w:r>
      <w:proofErr w:type="gramEnd"/>
      <w:r w:rsidR="00FC429E">
        <w:t xml:space="preserve"> </w:t>
      </w:r>
      <w:proofErr w:type="gramStart"/>
      <w:r w:rsidR="00FC429E">
        <w:t>Available from &lt;</w:t>
      </w:r>
      <w:hyperlink r:id="rId3" w:history="1">
        <w:r w:rsidRPr="00E101ED">
          <w:rPr>
            <w:rStyle w:val="Hyperlink"/>
          </w:rPr>
          <w:t>http://www.rch.org.au/uploadedFiles/Main/Content/RESPMED/handbook.pdf</w:t>
        </w:r>
      </w:hyperlink>
      <w:r w:rsidR="00FC429E">
        <w:t>&gt;</w:t>
      </w:r>
      <w:r w:rsidRPr="00625138">
        <w:t>.</w:t>
      </w:r>
      <w:proofErr w:type="gramEnd"/>
      <w:r w:rsidRPr="00625138">
        <w:t xml:space="preserve"> </w:t>
      </w:r>
      <w:proofErr w:type="gramStart"/>
      <w:r w:rsidRPr="00625138">
        <w:t>Accessed 3 July 2014.</w:t>
      </w:r>
      <w:proofErr w:type="gramEnd"/>
    </w:p>
  </w:footnote>
  <w:footnote w:id="5">
    <w:p w14:paraId="04AD6DA6" w14:textId="77777777" w:rsidR="0096617F" w:rsidRDefault="0096617F" w:rsidP="0096617F">
      <w:pPr>
        <w:pStyle w:val="FootnoteText"/>
      </w:pPr>
      <w:r>
        <w:rPr>
          <w:rStyle w:val="FootnoteReference"/>
        </w:rPr>
        <w:footnoteRef/>
      </w:r>
      <w:r>
        <w:t xml:space="preserve"> Clinicaltrials.gov. Accessed 30 July 2014. Trials </w:t>
      </w:r>
      <w:r w:rsidRPr="00DC46AE">
        <w:t>NCT00388505</w:t>
      </w:r>
      <w:r>
        <w:t xml:space="preserve">, </w:t>
      </w:r>
      <w:r w:rsidRPr="00DC46AE">
        <w:t>NCT01519661</w:t>
      </w:r>
      <w:r>
        <w:t xml:space="preserve"> and </w:t>
      </w:r>
      <w:r w:rsidRPr="00DC46AE">
        <w:t>NCT01775137</w:t>
      </w:r>
      <w:r>
        <w:t xml:space="preserve"> had Australian sites.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6E97B6" w14:textId="77777777" w:rsidR="00FB02ED" w:rsidRDefault="00FB02E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2797C5" w14:textId="77777777" w:rsidR="00FB02ED" w:rsidRDefault="00FB02E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D40CC4" w14:textId="77777777" w:rsidR="00FB02ED" w:rsidRDefault="00FB02E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3D68C1"/>
    <w:multiLevelType w:val="hybridMultilevel"/>
    <w:tmpl w:val="0A4697CE"/>
    <w:lvl w:ilvl="0" w:tplc="587E2DFE">
      <w:start w:val="1"/>
      <w:numFmt w:val="bullet"/>
      <w:lvlText w:val=""/>
      <w:lvlJc w:val="left"/>
      <w:pPr>
        <w:ind w:left="720" w:hanging="360"/>
      </w:pPr>
      <w:rPr>
        <w:rFonts w:ascii="Symbol" w:hAnsi="Symbol" w:hint="default"/>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3C1F224F"/>
    <w:multiLevelType w:val="hybridMultilevel"/>
    <w:tmpl w:val="D29ADD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50B74CEE"/>
    <w:multiLevelType w:val="hybridMultilevel"/>
    <w:tmpl w:val="3B1E4E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653B4373"/>
    <w:multiLevelType w:val="hybridMultilevel"/>
    <w:tmpl w:val="D0B695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6EA02DA3"/>
    <w:multiLevelType w:val="hybridMultilevel"/>
    <w:tmpl w:val="FC947262"/>
    <w:lvl w:ilvl="0" w:tplc="02AA903C">
      <w:start w:val="1"/>
      <w:numFmt w:val="bullet"/>
      <w:lvlText w:val=""/>
      <w:lvlJc w:val="left"/>
      <w:pPr>
        <w:ind w:left="360" w:hanging="360"/>
      </w:pPr>
      <w:rPr>
        <w:rFonts w:ascii="Symbol" w:hAnsi="Symbol" w:hint="default"/>
      </w:rPr>
    </w:lvl>
    <w:lvl w:ilvl="1" w:tplc="02AA903C">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74F662BE"/>
    <w:multiLevelType w:val="hybridMultilevel"/>
    <w:tmpl w:val="C15EBE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76817951"/>
    <w:multiLevelType w:val="hybridMultilevel"/>
    <w:tmpl w:val="7542FDF6"/>
    <w:lvl w:ilvl="0" w:tplc="587E2DFE">
      <w:start w:val="1"/>
      <w:numFmt w:val="bullet"/>
      <w:lvlText w:val=""/>
      <w:lvlJc w:val="left"/>
      <w:pPr>
        <w:ind w:left="720" w:hanging="360"/>
      </w:pPr>
      <w:rPr>
        <w:rFonts w:ascii="Symbol" w:hAnsi="Symbol" w:hint="default"/>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7"/>
  </w:num>
  <w:num w:numId="4">
    <w:abstractNumId w:val="6"/>
  </w:num>
  <w:num w:numId="5">
    <w:abstractNumId w:val="1"/>
  </w:num>
  <w:num w:numId="6">
    <w:abstractNumId w:val="4"/>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6553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041"/>
    <w:rsid w:val="00000F04"/>
    <w:rsid w:val="000026AA"/>
    <w:rsid w:val="000069E2"/>
    <w:rsid w:val="000078B9"/>
    <w:rsid w:val="0001288E"/>
    <w:rsid w:val="000219F7"/>
    <w:rsid w:val="00022617"/>
    <w:rsid w:val="00037B21"/>
    <w:rsid w:val="000421B1"/>
    <w:rsid w:val="00046D7D"/>
    <w:rsid w:val="00050642"/>
    <w:rsid w:val="0005619F"/>
    <w:rsid w:val="00060811"/>
    <w:rsid w:val="00067296"/>
    <w:rsid w:val="00070210"/>
    <w:rsid w:val="000858C2"/>
    <w:rsid w:val="000933D3"/>
    <w:rsid w:val="00094DCF"/>
    <w:rsid w:val="00095D51"/>
    <w:rsid w:val="000A17ED"/>
    <w:rsid w:val="000A63DC"/>
    <w:rsid w:val="000B268E"/>
    <w:rsid w:val="000B796C"/>
    <w:rsid w:val="000C6377"/>
    <w:rsid w:val="000C6E5D"/>
    <w:rsid w:val="000C7D8B"/>
    <w:rsid w:val="000D3F45"/>
    <w:rsid w:val="000E295D"/>
    <w:rsid w:val="000E485D"/>
    <w:rsid w:val="000F22BC"/>
    <w:rsid w:val="000F2F51"/>
    <w:rsid w:val="000F46A6"/>
    <w:rsid w:val="000F760B"/>
    <w:rsid w:val="00112FB2"/>
    <w:rsid w:val="00113D74"/>
    <w:rsid w:val="00117C5C"/>
    <w:rsid w:val="00130892"/>
    <w:rsid w:val="001327FB"/>
    <w:rsid w:val="001328FB"/>
    <w:rsid w:val="001354DE"/>
    <w:rsid w:val="00140B3D"/>
    <w:rsid w:val="001420B3"/>
    <w:rsid w:val="0014260F"/>
    <w:rsid w:val="001462D8"/>
    <w:rsid w:val="00152FFD"/>
    <w:rsid w:val="00153699"/>
    <w:rsid w:val="0015691C"/>
    <w:rsid w:val="00160EB8"/>
    <w:rsid w:val="001714FD"/>
    <w:rsid w:val="00174183"/>
    <w:rsid w:val="001759EC"/>
    <w:rsid w:val="00176913"/>
    <w:rsid w:val="00180B4E"/>
    <w:rsid w:val="001824A3"/>
    <w:rsid w:val="001831D0"/>
    <w:rsid w:val="001841BF"/>
    <w:rsid w:val="00185666"/>
    <w:rsid w:val="00196800"/>
    <w:rsid w:val="001A5FAE"/>
    <w:rsid w:val="001B4788"/>
    <w:rsid w:val="001B50CA"/>
    <w:rsid w:val="001B5D37"/>
    <w:rsid w:val="001C2785"/>
    <w:rsid w:val="001C4016"/>
    <w:rsid w:val="001C4B85"/>
    <w:rsid w:val="001D0BFA"/>
    <w:rsid w:val="001D2DCB"/>
    <w:rsid w:val="001D390D"/>
    <w:rsid w:val="001E2103"/>
    <w:rsid w:val="001E31A6"/>
    <w:rsid w:val="001F2C97"/>
    <w:rsid w:val="001F2F3E"/>
    <w:rsid w:val="00200302"/>
    <w:rsid w:val="00201C73"/>
    <w:rsid w:val="00201CB9"/>
    <w:rsid w:val="00205854"/>
    <w:rsid w:val="0020680C"/>
    <w:rsid w:val="002104AA"/>
    <w:rsid w:val="00214013"/>
    <w:rsid w:val="00226A00"/>
    <w:rsid w:val="00227932"/>
    <w:rsid w:val="002310AD"/>
    <w:rsid w:val="00235473"/>
    <w:rsid w:val="0024294B"/>
    <w:rsid w:val="002509D5"/>
    <w:rsid w:val="00252D19"/>
    <w:rsid w:val="00254AFE"/>
    <w:rsid w:val="00270427"/>
    <w:rsid w:val="00272A13"/>
    <w:rsid w:val="002742DA"/>
    <w:rsid w:val="002744E9"/>
    <w:rsid w:val="00275D5A"/>
    <w:rsid w:val="00277984"/>
    <w:rsid w:val="002801FD"/>
    <w:rsid w:val="0028594C"/>
    <w:rsid w:val="002A6555"/>
    <w:rsid w:val="002B6AC3"/>
    <w:rsid w:val="002C4942"/>
    <w:rsid w:val="002C6E0C"/>
    <w:rsid w:val="002D3EC5"/>
    <w:rsid w:val="002D472A"/>
    <w:rsid w:val="002D64DC"/>
    <w:rsid w:val="002E3337"/>
    <w:rsid w:val="002F49A8"/>
    <w:rsid w:val="002F61CA"/>
    <w:rsid w:val="002F63ED"/>
    <w:rsid w:val="002F731E"/>
    <w:rsid w:val="0030749C"/>
    <w:rsid w:val="00313B8D"/>
    <w:rsid w:val="00314291"/>
    <w:rsid w:val="00325BAB"/>
    <w:rsid w:val="00326400"/>
    <w:rsid w:val="0032712B"/>
    <w:rsid w:val="003356FA"/>
    <w:rsid w:val="003370D0"/>
    <w:rsid w:val="00340F95"/>
    <w:rsid w:val="00343204"/>
    <w:rsid w:val="00347CBC"/>
    <w:rsid w:val="0035022F"/>
    <w:rsid w:val="003529E0"/>
    <w:rsid w:val="003531ED"/>
    <w:rsid w:val="003560E4"/>
    <w:rsid w:val="00364131"/>
    <w:rsid w:val="0036675E"/>
    <w:rsid w:val="0038097B"/>
    <w:rsid w:val="003811C7"/>
    <w:rsid w:val="003849A5"/>
    <w:rsid w:val="0039017F"/>
    <w:rsid w:val="003B066C"/>
    <w:rsid w:val="003C5FE8"/>
    <w:rsid w:val="003D41D1"/>
    <w:rsid w:val="003D6756"/>
    <w:rsid w:val="003F2C10"/>
    <w:rsid w:val="00402420"/>
    <w:rsid w:val="0040284E"/>
    <w:rsid w:val="00421E3E"/>
    <w:rsid w:val="00432B56"/>
    <w:rsid w:val="004446E3"/>
    <w:rsid w:val="00452CFD"/>
    <w:rsid w:val="00462FF4"/>
    <w:rsid w:val="00474F06"/>
    <w:rsid w:val="00481108"/>
    <w:rsid w:val="0048777A"/>
    <w:rsid w:val="00490297"/>
    <w:rsid w:val="0049042B"/>
    <w:rsid w:val="004955CE"/>
    <w:rsid w:val="00497E5C"/>
    <w:rsid w:val="004A1445"/>
    <w:rsid w:val="004A458E"/>
    <w:rsid w:val="004B23E7"/>
    <w:rsid w:val="004B2514"/>
    <w:rsid w:val="004B306F"/>
    <w:rsid w:val="004B321D"/>
    <w:rsid w:val="004B552B"/>
    <w:rsid w:val="004C3186"/>
    <w:rsid w:val="004C5042"/>
    <w:rsid w:val="004C6913"/>
    <w:rsid w:val="004D14BD"/>
    <w:rsid w:val="004D3949"/>
    <w:rsid w:val="004E17F2"/>
    <w:rsid w:val="004F1E15"/>
    <w:rsid w:val="00503998"/>
    <w:rsid w:val="0050623B"/>
    <w:rsid w:val="00510182"/>
    <w:rsid w:val="00524F7B"/>
    <w:rsid w:val="005311A4"/>
    <w:rsid w:val="00533859"/>
    <w:rsid w:val="005339F6"/>
    <w:rsid w:val="00547DEA"/>
    <w:rsid w:val="00561CB4"/>
    <w:rsid w:val="0056473C"/>
    <w:rsid w:val="00574BCE"/>
    <w:rsid w:val="00585DF4"/>
    <w:rsid w:val="00591512"/>
    <w:rsid w:val="005A2064"/>
    <w:rsid w:val="005A4092"/>
    <w:rsid w:val="005C25A2"/>
    <w:rsid w:val="005C2AE7"/>
    <w:rsid w:val="005C4023"/>
    <w:rsid w:val="005C55C6"/>
    <w:rsid w:val="005C597F"/>
    <w:rsid w:val="005C5C19"/>
    <w:rsid w:val="005D436A"/>
    <w:rsid w:val="005E147D"/>
    <w:rsid w:val="005E22C2"/>
    <w:rsid w:val="005E2A0E"/>
    <w:rsid w:val="005F488D"/>
    <w:rsid w:val="006038A7"/>
    <w:rsid w:val="00606906"/>
    <w:rsid w:val="00625138"/>
    <w:rsid w:val="00630071"/>
    <w:rsid w:val="0063021F"/>
    <w:rsid w:val="00630CA0"/>
    <w:rsid w:val="00635817"/>
    <w:rsid w:val="0063631C"/>
    <w:rsid w:val="00641D9F"/>
    <w:rsid w:val="00647EC6"/>
    <w:rsid w:val="00651D69"/>
    <w:rsid w:val="006537D9"/>
    <w:rsid w:val="00656CD3"/>
    <w:rsid w:val="0065723B"/>
    <w:rsid w:val="00665DEF"/>
    <w:rsid w:val="00675BB1"/>
    <w:rsid w:val="00677C19"/>
    <w:rsid w:val="006812AF"/>
    <w:rsid w:val="006A44F5"/>
    <w:rsid w:val="006A5CFE"/>
    <w:rsid w:val="006B4537"/>
    <w:rsid w:val="006B603D"/>
    <w:rsid w:val="006B709B"/>
    <w:rsid w:val="006C4620"/>
    <w:rsid w:val="006D35B6"/>
    <w:rsid w:val="006E0181"/>
    <w:rsid w:val="006E2540"/>
    <w:rsid w:val="006F187B"/>
    <w:rsid w:val="00705309"/>
    <w:rsid w:val="00705DAD"/>
    <w:rsid w:val="007247B9"/>
    <w:rsid w:val="00727D85"/>
    <w:rsid w:val="0073116A"/>
    <w:rsid w:val="007346C7"/>
    <w:rsid w:val="00736041"/>
    <w:rsid w:val="007401AB"/>
    <w:rsid w:val="007408C7"/>
    <w:rsid w:val="00752C7F"/>
    <w:rsid w:val="00760059"/>
    <w:rsid w:val="007607F3"/>
    <w:rsid w:val="007673E5"/>
    <w:rsid w:val="00770AC4"/>
    <w:rsid w:val="00776598"/>
    <w:rsid w:val="00783739"/>
    <w:rsid w:val="00796B2F"/>
    <w:rsid w:val="00796E84"/>
    <w:rsid w:val="007A07A2"/>
    <w:rsid w:val="007A28D1"/>
    <w:rsid w:val="007B3C3F"/>
    <w:rsid w:val="007D2B3D"/>
    <w:rsid w:val="007D4802"/>
    <w:rsid w:val="007E5CE8"/>
    <w:rsid w:val="00800C2D"/>
    <w:rsid w:val="008077D3"/>
    <w:rsid w:val="008142B4"/>
    <w:rsid w:val="00823828"/>
    <w:rsid w:val="00832324"/>
    <w:rsid w:val="008476E4"/>
    <w:rsid w:val="008520EF"/>
    <w:rsid w:val="0085256D"/>
    <w:rsid w:val="00852A4C"/>
    <w:rsid w:val="00856BB4"/>
    <w:rsid w:val="00873A1D"/>
    <w:rsid w:val="00880174"/>
    <w:rsid w:val="00887EFB"/>
    <w:rsid w:val="00890CD5"/>
    <w:rsid w:val="00896025"/>
    <w:rsid w:val="00896403"/>
    <w:rsid w:val="00897097"/>
    <w:rsid w:val="008A0D90"/>
    <w:rsid w:val="008B2672"/>
    <w:rsid w:val="008B4B81"/>
    <w:rsid w:val="008C3D61"/>
    <w:rsid w:val="008C671C"/>
    <w:rsid w:val="008D1946"/>
    <w:rsid w:val="008D29F4"/>
    <w:rsid w:val="008D35E8"/>
    <w:rsid w:val="008D3E72"/>
    <w:rsid w:val="008D69B7"/>
    <w:rsid w:val="008D77B2"/>
    <w:rsid w:val="0090010F"/>
    <w:rsid w:val="00902FD0"/>
    <w:rsid w:val="009053D3"/>
    <w:rsid w:val="00905AB4"/>
    <w:rsid w:val="00923B52"/>
    <w:rsid w:val="00923F4B"/>
    <w:rsid w:val="0093111F"/>
    <w:rsid w:val="00935689"/>
    <w:rsid w:val="009379BA"/>
    <w:rsid w:val="0094366B"/>
    <w:rsid w:val="00945324"/>
    <w:rsid w:val="00957837"/>
    <w:rsid w:val="0096189A"/>
    <w:rsid w:val="0096617F"/>
    <w:rsid w:val="009663B6"/>
    <w:rsid w:val="00976998"/>
    <w:rsid w:val="0097718B"/>
    <w:rsid w:val="00980286"/>
    <w:rsid w:val="00980972"/>
    <w:rsid w:val="009810A6"/>
    <w:rsid w:val="00994702"/>
    <w:rsid w:val="009A2799"/>
    <w:rsid w:val="009A4CD6"/>
    <w:rsid w:val="009A52BD"/>
    <w:rsid w:val="009C0886"/>
    <w:rsid w:val="009C35F2"/>
    <w:rsid w:val="009C7C43"/>
    <w:rsid w:val="009D2BB9"/>
    <w:rsid w:val="009D41C8"/>
    <w:rsid w:val="009E2173"/>
    <w:rsid w:val="009E21A7"/>
    <w:rsid w:val="009E3349"/>
    <w:rsid w:val="009E3ED0"/>
    <w:rsid w:val="009F4630"/>
    <w:rsid w:val="009F6D66"/>
    <w:rsid w:val="00A01B35"/>
    <w:rsid w:val="00A103ED"/>
    <w:rsid w:val="00A108F9"/>
    <w:rsid w:val="00A113E3"/>
    <w:rsid w:val="00A13C60"/>
    <w:rsid w:val="00A17D37"/>
    <w:rsid w:val="00A268C2"/>
    <w:rsid w:val="00A27A2D"/>
    <w:rsid w:val="00A3384F"/>
    <w:rsid w:val="00A34949"/>
    <w:rsid w:val="00A35800"/>
    <w:rsid w:val="00A36FA8"/>
    <w:rsid w:val="00A3777D"/>
    <w:rsid w:val="00A4020E"/>
    <w:rsid w:val="00A55579"/>
    <w:rsid w:val="00A64ACA"/>
    <w:rsid w:val="00A74799"/>
    <w:rsid w:val="00A76E21"/>
    <w:rsid w:val="00A77F21"/>
    <w:rsid w:val="00A84CAD"/>
    <w:rsid w:val="00A85250"/>
    <w:rsid w:val="00A8640D"/>
    <w:rsid w:val="00A9161D"/>
    <w:rsid w:val="00AB3733"/>
    <w:rsid w:val="00AC6C24"/>
    <w:rsid w:val="00AE3518"/>
    <w:rsid w:val="00AE4EAB"/>
    <w:rsid w:val="00AF6BB9"/>
    <w:rsid w:val="00AF6DE8"/>
    <w:rsid w:val="00AF72FF"/>
    <w:rsid w:val="00AF7E6E"/>
    <w:rsid w:val="00B023BC"/>
    <w:rsid w:val="00B02AB9"/>
    <w:rsid w:val="00B02C31"/>
    <w:rsid w:val="00B03DCE"/>
    <w:rsid w:val="00B03E00"/>
    <w:rsid w:val="00B05310"/>
    <w:rsid w:val="00B1504C"/>
    <w:rsid w:val="00B201A2"/>
    <w:rsid w:val="00B22AE8"/>
    <w:rsid w:val="00B3146F"/>
    <w:rsid w:val="00B329FD"/>
    <w:rsid w:val="00B35F74"/>
    <w:rsid w:val="00B45D07"/>
    <w:rsid w:val="00B538AD"/>
    <w:rsid w:val="00B9120F"/>
    <w:rsid w:val="00B924A4"/>
    <w:rsid w:val="00B9592A"/>
    <w:rsid w:val="00B95FB9"/>
    <w:rsid w:val="00BB0D1A"/>
    <w:rsid w:val="00BB1D3B"/>
    <w:rsid w:val="00BB2529"/>
    <w:rsid w:val="00BC2A8D"/>
    <w:rsid w:val="00BC35ED"/>
    <w:rsid w:val="00BC4503"/>
    <w:rsid w:val="00BC55C3"/>
    <w:rsid w:val="00BC693F"/>
    <w:rsid w:val="00BC7645"/>
    <w:rsid w:val="00BE2302"/>
    <w:rsid w:val="00BE36FB"/>
    <w:rsid w:val="00BE5D65"/>
    <w:rsid w:val="00BF238E"/>
    <w:rsid w:val="00BF2F3E"/>
    <w:rsid w:val="00BF6D5C"/>
    <w:rsid w:val="00C0076F"/>
    <w:rsid w:val="00C152AF"/>
    <w:rsid w:val="00C15BDF"/>
    <w:rsid w:val="00C2020E"/>
    <w:rsid w:val="00C26824"/>
    <w:rsid w:val="00C359F3"/>
    <w:rsid w:val="00C41246"/>
    <w:rsid w:val="00C45E5F"/>
    <w:rsid w:val="00C5206C"/>
    <w:rsid w:val="00C53F2B"/>
    <w:rsid w:val="00C60DA4"/>
    <w:rsid w:val="00C672F4"/>
    <w:rsid w:val="00C675DB"/>
    <w:rsid w:val="00C714D0"/>
    <w:rsid w:val="00C75822"/>
    <w:rsid w:val="00C8162C"/>
    <w:rsid w:val="00C81E55"/>
    <w:rsid w:val="00C81F99"/>
    <w:rsid w:val="00C901F5"/>
    <w:rsid w:val="00C97AFA"/>
    <w:rsid w:val="00CA77C2"/>
    <w:rsid w:val="00CB16A9"/>
    <w:rsid w:val="00CB29BB"/>
    <w:rsid w:val="00CB4FDE"/>
    <w:rsid w:val="00CB6ABE"/>
    <w:rsid w:val="00CD28A8"/>
    <w:rsid w:val="00CD3184"/>
    <w:rsid w:val="00CD5DF8"/>
    <w:rsid w:val="00CE001C"/>
    <w:rsid w:val="00CE2CDF"/>
    <w:rsid w:val="00CE417B"/>
    <w:rsid w:val="00CF0E92"/>
    <w:rsid w:val="00CF68EC"/>
    <w:rsid w:val="00CF6FB3"/>
    <w:rsid w:val="00D07DE0"/>
    <w:rsid w:val="00D13C41"/>
    <w:rsid w:val="00D151EB"/>
    <w:rsid w:val="00D2789D"/>
    <w:rsid w:val="00D30378"/>
    <w:rsid w:val="00D30A9E"/>
    <w:rsid w:val="00D344EC"/>
    <w:rsid w:val="00D344EF"/>
    <w:rsid w:val="00D42F05"/>
    <w:rsid w:val="00D513B2"/>
    <w:rsid w:val="00D51763"/>
    <w:rsid w:val="00D51D19"/>
    <w:rsid w:val="00D56BB9"/>
    <w:rsid w:val="00D62ED7"/>
    <w:rsid w:val="00D6439E"/>
    <w:rsid w:val="00D650CE"/>
    <w:rsid w:val="00D6651E"/>
    <w:rsid w:val="00D75E15"/>
    <w:rsid w:val="00D8601A"/>
    <w:rsid w:val="00D8758B"/>
    <w:rsid w:val="00D963BE"/>
    <w:rsid w:val="00DA7D09"/>
    <w:rsid w:val="00DC49E9"/>
    <w:rsid w:val="00DD2061"/>
    <w:rsid w:val="00DD70ED"/>
    <w:rsid w:val="00DE0B96"/>
    <w:rsid w:val="00DE260E"/>
    <w:rsid w:val="00DE75A5"/>
    <w:rsid w:val="00DF0B13"/>
    <w:rsid w:val="00DF189B"/>
    <w:rsid w:val="00DF3656"/>
    <w:rsid w:val="00DF4A94"/>
    <w:rsid w:val="00E066C3"/>
    <w:rsid w:val="00E06753"/>
    <w:rsid w:val="00E101ED"/>
    <w:rsid w:val="00E11A6D"/>
    <w:rsid w:val="00E11B83"/>
    <w:rsid w:val="00E12685"/>
    <w:rsid w:val="00E1353A"/>
    <w:rsid w:val="00E14D65"/>
    <w:rsid w:val="00E153FC"/>
    <w:rsid w:val="00E1564B"/>
    <w:rsid w:val="00E208A0"/>
    <w:rsid w:val="00E20F02"/>
    <w:rsid w:val="00E30B07"/>
    <w:rsid w:val="00E34412"/>
    <w:rsid w:val="00E361F6"/>
    <w:rsid w:val="00E376AA"/>
    <w:rsid w:val="00E41C8B"/>
    <w:rsid w:val="00E42FEE"/>
    <w:rsid w:val="00E43D6D"/>
    <w:rsid w:val="00E55D60"/>
    <w:rsid w:val="00E628EA"/>
    <w:rsid w:val="00E66076"/>
    <w:rsid w:val="00E677DD"/>
    <w:rsid w:val="00E70796"/>
    <w:rsid w:val="00E773C2"/>
    <w:rsid w:val="00E85C2B"/>
    <w:rsid w:val="00EA3C83"/>
    <w:rsid w:val="00EB6C07"/>
    <w:rsid w:val="00EB7D33"/>
    <w:rsid w:val="00EC028D"/>
    <w:rsid w:val="00EC173E"/>
    <w:rsid w:val="00ED0C55"/>
    <w:rsid w:val="00ED0E66"/>
    <w:rsid w:val="00ED5781"/>
    <w:rsid w:val="00ED633B"/>
    <w:rsid w:val="00EE478C"/>
    <w:rsid w:val="00EF0065"/>
    <w:rsid w:val="00EF37FB"/>
    <w:rsid w:val="00F000A1"/>
    <w:rsid w:val="00F000B7"/>
    <w:rsid w:val="00F05BC6"/>
    <w:rsid w:val="00F11CFC"/>
    <w:rsid w:val="00F11DA1"/>
    <w:rsid w:val="00F11F0C"/>
    <w:rsid w:val="00F22393"/>
    <w:rsid w:val="00F30767"/>
    <w:rsid w:val="00F33D4F"/>
    <w:rsid w:val="00F43923"/>
    <w:rsid w:val="00F51C7A"/>
    <w:rsid w:val="00F5768B"/>
    <w:rsid w:val="00F57F76"/>
    <w:rsid w:val="00F61326"/>
    <w:rsid w:val="00F725C4"/>
    <w:rsid w:val="00F8419C"/>
    <w:rsid w:val="00F8425C"/>
    <w:rsid w:val="00F90963"/>
    <w:rsid w:val="00FB02ED"/>
    <w:rsid w:val="00FB066A"/>
    <w:rsid w:val="00FB21AE"/>
    <w:rsid w:val="00FC357E"/>
    <w:rsid w:val="00FC429E"/>
    <w:rsid w:val="00FC4A73"/>
    <w:rsid w:val="00FC4E6D"/>
    <w:rsid w:val="00FD0424"/>
    <w:rsid w:val="00FD13CD"/>
    <w:rsid w:val="00FD72EE"/>
    <w:rsid w:val="00FE645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5537"/>
    <o:shapelayout v:ext="edit">
      <o:idmap v:ext="edit" data="1"/>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1D390D"/>
    <w:pPr>
      <w:keepNext/>
      <w:keepLines/>
      <w:spacing w:before="480" w:after="240"/>
      <w:outlineLvl w:val="0"/>
    </w:pPr>
    <w:rPr>
      <w:rFonts w:eastAsiaTheme="majorEastAsia" w:cstheme="majorBidi"/>
      <w:b/>
      <w:bCs/>
      <w:sz w:val="40"/>
      <w:szCs w:val="28"/>
    </w:rPr>
  </w:style>
  <w:style w:type="paragraph" w:styleId="Heading2">
    <w:name w:val="heading 2"/>
    <w:basedOn w:val="Normal"/>
    <w:next w:val="Normal"/>
    <w:link w:val="Heading2Char"/>
    <w:uiPriority w:val="9"/>
    <w:unhideWhenUsed/>
    <w:qFormat/>
    <w:rsid w:val="001D390D"/>
    <w:pPr>
      <w:keepNext/>
      <w:keepLines/>
      <w:spacing w:before="360" w:after="240"/>
      <w:outlineLvl w:val="1"/>
    </w:pPr>
    <w:rPr>
      <w:rFonts w:eastAsiaTheme="majorEastAsia" w:cstheme="majorBidi"/>
      <w:b/>
      <w:bCs/>
      <w:i/>
    </w:rPr>
  </w:style>
  <w:style w:type="paragraph" w:styleId="Heading3">
    <w:name w:val="heading 3"/>
    <w:basedOn w:val="Heading2"/>
    <w:next w:val="Normal"/>
    <w:link w:val="Heading3Char"/>
    <w:uiPriority w:val="9"/>
    <w:unhideWhenUsed/>
    <w:qFormat/>
    <w:rsid w:val="001D390D"/>
    <w:pPr>
      <w:outlineLvl w:val="2"/>
    </w:pPr>
    <w:rPr>
      <w:i w:val="0"/>
      <w:sz w:val="32"/>
      <w:szCs w:val="32"/>
    </w:rPr>
  </w:style>
  <w:style w:type="paragraph" w:styleId="Heading4">
    <w:name w:val="heading 4"/>
    <w:basedOn w:val="Heading3"/>
    <w:next w:val="Normal"/>
    <w:link w:val="Heading4Char"/>
    <w:uiPriority w:val="9"/>
    <w:unhideWhenUsed/>
    <w:qFormat/>
    <w:rsid w:val="00E376AA"/>
    <w:pPr>
      <w:outlineLvl w:val="3"/>
    </w:pPr>
    <w:rPr>
      <w:sz w:val="28"/>
      <w:szCs w:val="28"/>
    </w:rPr>
  </w:style>
  <w:style w:type="paragraph" w:styleId="Heading5">
    <w:name w:val="heading 5"/>
    <w:basedOn w:val="Heading4"/>
    <w:next w:val="Normal"/>
    <w:link w:val="Heading5Char"/>
    <w:uiPriority w:val="9"/>
    <w:unhideWhenUsed/>
    <w:qFormat/>
    <w:rsid w:val="004F1E15"/>
    <w:pPr>
      <w:outlineLvl w:val="4"/>
    </w:pPr>
    <w:rPr>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390D"/>
    <w:rPr>
      <w:rFonts w:eastAsiaTheme="majorEastAsia" w:cstheme="majorBidi"/>
      <w:b/>
      <w:bCs/>
      <w:sz w:val="40"/>
      <w:szCs w:val="28"/>
    </w:rPr>
  </w:style>
  <w:style w:type="character" w:customStyle="1" w:styleId="Heading2Char">
    <w:name w:val="Heading 2 Char"/>
    <w:basedOn w:val="DefaultParagraphFont"/>
    <w:link w:val="Heading2"/>
    <w:uiPriority w:val="9"/>
    <w:rsid w:val="001D390D"/>
    <w:rPr>
      <w:rFonts w:eastAsiaTheme="majorEastAsia" w:cstheme="majorBidi"/>
      <w:b/>
      <w:bCs/>
      <w:i/>
      <w:sz w:val="24"/>
      <w:szCs w:val="24"/>
    </w:rPr>
  </w:style>
  <w:style w:type="character" w:customStyle="1" w:styleId="Heading3Char">
    <w:name w:val="Heading 3 Char"/>
    <w:basedOn w:val="DefaultParagraphFont"/>
    <w:link w:val="Heading3"/>
    <w:uiPriority w:val="9"/>
    <w:rsid w:val="001D390D"/>
    <w:rPr>
      <w:rFonts w:eastAsiaTheme="majorEastAsia" w:cstheme="majorBidi"/>
      <w:b/>
      <w:bCs/>
      <w:sz w:val="32"/>
      <w:szCs w:val="32"/>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E376AA"/>
    <w:rPr>
      <w:rFonts w:eastAsiaTheme="majorEastAsia" w:cstheme="majorBidi"/>
      <w:b/>
      <w:bCs/>
      <w:sz w:val="28"/>
      <w:szCs w:val="28"/>
    </w:rPr>
  </w:style>
  <w:style w:type="character" w:customStyle="1" w:styleId="Heading5Char">
    <w:name w:val="Heading 5 Char"/>
    <w:basedOn w:val="DefaultParagraphFont"/>
    <w:link w:val="Heading5"/>
    <w:uiPriority w:val="9"/>
    <w:rsid w:val="004F1E15"/>
    <w:rPr>
      <w:rFonts w:eastAsiaTheme="majorEastAsia" w:cstheme="majorBidi"/>
      <w:b/>
      <w:bCs/>
      <w: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2F63ED"/>
    <w:pPr>
      <w:spacing w:before="200" w:after="20"/>
    </w:pPr>
    <w:rPr>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2F63ED"/>
    <w:rPr>
      <w:rFonts w:eastAsiaTheme="majorEastAsia" w:cstheme="majorBidi"/>
      <w:b/>
      <w:bCs/>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character" w:styleId="Hyperlink">
    <w:name w:val="Hyperlink"/>
    <w:basedOn w:val="DefaultParagraphFont"/>
    <w:uiPriority w:val="99"/>
    <w:unhideWhenUsed/>
    <w:rsid w:val="00561CB4"/>
    <w:rPr>
      <w:color w:val="0000FF" w:themeColor="hyperlink"/>
      <w:u w:val="single"/>
    </w:rPr>
  </w:style>
  <w:style w:type="paragraph" w:styleId="Subtitle">
    <w:name w:val="Subtitle"/>
    <w:basedOn w:val="Heading1"/>
    <w:next w:val="Normal"/>
    <w:link w:val="SubtitleChar"/>
    <w:uiPriority w:val="11"/>
    <w:qFormat/>
    <w:rsid w:val="00252D19"/>
  </w:style>
  <w:style w:type="character" w:customStyle="1" w:styleId="SubtitleChar">
    <w:name w:val="Subtitle Char"/>
    <w:basedOn w:val="DefaultParagraphFont"/>
    <w:link w:val="Subtitle"/>
    <w:uiPriority w:val="11"/>
    <w:rsid w:val="00252D19"/>
    <w:rPr>
      <w:rFonts w:eastAsiaTheme="majorEastAsia" w:cstheme="majorBidi"/>
      <w:b/>
      <w:bCs/>
      <w:sz w:val="40"/>
      <w:szCs w:val="28"/>
    </w:rPr>
  </w:style>
  <w:style w:type="paragraph" w:styleId="ListParagraph">
    <w:name w:val="List Paragraph"/>
    <w:basedOn w:val="Normal"/>
    <w:uiPriority w:val="34"/>
    <w:qFormat/>
    <w:rsid w:val="00E773C2"/>
    <w:pPr>
      <w:ind w:left="720"/>
      <w:contextualSpacing/>
    </w:pPr>
  </w:style>
  <w:style w:type="character" w:styleId="FollowedHyperlink">
    <w:name w:val="FollowedHyperlink"/>
    <w:basedOn w:val="DefaultParagraphFont"/>
    <w:uiPriority w:val="99"/>
    <w:semiHidden/>
    <w:unhideWhenUsed/>
    <w:rsid w:val="00201CB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1D390D"/>
    <w:pPr>
      <w:keepNext/>
      <w:keepLines/>
      <w:spacing w:before="480" w:after="240"/>
      <w:outlineLvl w:val="0"/>
    </w:pPr>
    <w:rPr>
      <w:rFonts w:eastAsiaTheme="majorEastAsia" w:cstheme="majorBidi"/>
      <w:b/>
      <w:bCs/>
      <w:sz w:val="40"/>
      <w:szCs w:val="28"/>
    </w:rPr>
  </w:style>
  <w:style w:type="paragraph" w:styleId="Heading2">
    <w:name w:val="heading 2"/>
    <w:basedOn w:val="Normal"/>
    <w:next w:val="Normal"/>
    <w:link w:val="Heading2Char"/>
    <w:uiPriority w:val="9"/>
    <w:unhideWhenUsed/>
    <w:qFormat/>
    <w:rsid w:val="001D390D"/>
    <w:pPr>
      <w:keepNext/>
      <w:keepLines/>
      <w:spacing w:before="360" w:after="240"/>
      <w:outlineLvl w:val="1"/>
    </w:pPr>
    <w:rPr>
      <w:rFonts w:eastAsiaTheme="majorEastAsia" w:cstheme="majorBidi"/>
      <w:b/>
      <w:bCs/>
      <w:i/>
    </w:rPr>
  </w:style>
  <w:style w:type="paragraph" w:styleId="Heading3">
    <w:name w:val="heading 3"/>
    <w:basedOn w:val="Heading2"/>
    <w:next w:val="Normal"/>
    <w:link w:val="Heading3Char"/>
    <w:uiPriority w:val="9"/>
    <w:unhideWhenUsed/>
    <w:qFormat/>
    <w:rsid w:val="001D390D"/>
    <w:pPr>
      <w:outlineLvl w:val="2"/>
    </w:pPr>
    <w:rPr>
      <w:i w:val="0"/>
      <w:sz w:val="32"/>
      <w:szCs w:val="32"/>
    </w:rPr>
  </w:style>
  <w:style w:type="paragraph" w:styleId="Heading4">
    <w:name w:val="heading 4"/>
    <w:basedOn w:val="Heading3"/>
    <w:next w:val="Normal"/>
    <w:link w:val="Heading4Char"/>
    <w:uiPriority w:val="9"/>
    <w:unhideWhenUsed/>
    <w:qFormat/>
    <w:rsid w:val="00E376AA"/>
    <w:pPr>
      <w:outlineLvl w:val="3"/>
    </w:pPr>
    <w:rPr>
      <w:sz w:val="28"/>
      <w:szCs w:val="28"/>
    </w:rPr>
  </w:style>
  <w:style w:type="paragraph" w:styleId="Heading5">
    <w:name w:val="heading 5"/>
    <w:basedOn w:val="Heading4"/>
    <w:next w:val="Normal"/>
    <w:link w:val="Heading5Char"/>
    <w:uiPriority w:val="9"/>
    <w:unhideWhenUsed/>
    <w:qFormat/>
    <w:rsid w:val="004F1E15"/>
    <w:pPr>
      <w:outlineLvl w:val="4"/>
    </w:pPr>
    <w:rPr>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390D"/>
    <w:rPr>
      <w:rFonts w:eastAsiaTheme="majorEastAsia" w:cstheme="majorBidi"/>
      <w:b/>
      <w:bCs/>
      <w:sz w:val="40"/>
      <w:szCs w:val="28"/>
    </w:rPr>
  </w:style>
  <w:style w:type="character" w:customStyle="1" w:styleId="Heading2Char">
    <w:name w:val="Heading 2 Char"/>
    <w:basedOn w:val="DefaultParagraphFont"/>
    <w:link w:val="Heading2"/>
    <w:uiPriority w:val="9"/>
    <w:rsid w:val="001D390D"/>
    <w:rPr>
      <w:rFonts w:eastAsiaTheme="majorEastAsia" w:cstheme="majorBidi"/>
      <w:b/>
      <w:bCs/>
      <w:i/>
      <w:sz w:val="24"/>
      <w:szCs w:val="24"/>
    </w:rPr>
  </w:style>
  <w:style w:type="character" w:customStyle="1" w:styleId="Heading3Char">
    <w:name w:val="Heading 3 Char"/>
    <w:basedOn w:val="DefaultParagraphFont"/>
    <w:link w:val="Heading3"/>
    <w:uiPriority w:val="9"/>
    <w:rsid w:val="001D390D"/>
    <w:rPr>
      <w:rFonts w:eastAsiaTheme="majorEastAsia" w:cstheme="majorBidi"/>
      <w:b/>
      <w:bCs/>
      <w:sz w:val="32"/>
      <w:szCs w:val="32"/>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E376AA"/>
    <w:rPr>
      <w:rFonts w:eastAsiaTheme="majorEastAsia" w:cstheme="majorBidi"/>
      <w:b/>
      <w:bCs/>
      <w:sz w:val="28"/>
      <w:szCs w:val="28"/>
    </w:rPr>
  </w:style>
  <w:style w:type="character" w:customStyle="1" w:styleId="Heading5Char">
    <w:name w:val="Heading 5 Char"/>
    <w:basedOn w:val="DefaultParagraphFont"/>
    <w:link w:val="Heading5"/>
    <w:uiPriority w:val="9"/>
    <w:rsid w:val="004F1E15"/>
    <w:rPr>
      <w:rFonts w:eastAsiaTheme="majorEastAsia" w:cstheme="majorBidi"/>
      <w:b/>
      <w:bCs/>
      <w: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2F63ED"/>
    <w:pPr>
      <w:spacing w:before="200" w:after="20"/>
    </w:pPr>
    <w:rPr>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2F63ED"/>
    <w:rPr>
      <w:rFonts w:eastAsiaTheme="majorEastAsia" w:cstheme="majorBidi"/>
      <w:b/>
      <w:bCs/>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character" w:styleId="Hyperlink">
    <w:name w:val="Hyperlink"/>
    <w:basedOn w:val="DefaultParagraphFont"/>
    <w:uiPriority w:val="99"/>
    <w:unhideWhenUsed/>
    <w:rsid w:val="00561CB4"/>
    <w:rPr>
      <w:color w:val="0000FF" w:themeColor="hyperlink"/>
      <w:u w:val="single"/>
    </w:rPr>
  </w:style>
  <w:style w:type="paragraph" w:styleId="Subtitle">
    <w:name w:val="Subtitle"/>
    <w:basedOn w:val="Heading1"/>
    <w:next w:val="Normal"/>
    <w:link w:val="SubtitleChar"/>
    <w:uiPriority w:val="11"/>
    <w:qFormat/>
    <w:rsid w:val="00252D19"/>
  </w:style>
  <w:style w:type="character" w:customStyle="1" w:styleId="SubtitleChar">
    <w:name w:val="Subtitle Char"/>
    <w:basedOn w:val="DefaultParagraphFont"/>
    <w:link w:val="Subtitle"/>
    <w:uiPriority w:val="11"/>
    <w:rsid w:val="00252D19"/>
    <w:rPr>
      <w:rFonts w:eastAsiaTheme="majorEastAsia" w:cstheme="majorBidi"/>
      <w:b/>
      <w:bCs/>
      <w:sz w:val="40"/>
      <w:szCs w:val="28"/>
    </w:rPr>
  </w:style>
  <w:style w:type="paragraph" w:styleId="ListParagraph">
    <w:name w:val="List Paragraph"/>
    <w:basedOn w:val="Normal"/>
    <w:uiPriority w:val="34"/>
    <w:qFormat/>
    <w:rsid w:val="00E773C2"/>
    <w:pPr>
      <w:ind w:left="720"/>
      <w:contextualSpacing/>
    </w:pPr>
  </w:style>
  <w:style w:type="character" w:styleId="FollowedHyperlink">
    <w:name w:val="FollowedHyperlink"/>
    <w:basedOn w:val="DefaultParagraphFont"/>
    <w:uiPriority w:val="99"/>
    <w:semiHidden/>
    <w:unhideWhenUsed/>
    <w:rsid w:val="00201CB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667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bs.gov.au/info/industry/listing/elements/pbac-meetings/psd/2013-11/tobramycin" TargetMode="External"/><Relationship Id="rId18" Type="http://schemas.openxmlformats.org/officeDocument/2006/relationships/chart" Target="charts/chart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pbs.gov.au/info/industry/listing/elements/pbac-meetings/psd/2011-03/pbac-psd-tobramycin-march11" TargetMode="External"/><Relationship Id="rId17" Type="http://schemas.openxmlformats.org/officeDocument/2006/relationships/chart" Target="charts/chart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bs.gov.au"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header" Target="header3.xml"/><Relationship Id="rId10" Type="http://schemas.openxmlformats.org/officeDocument/2006/relationships/hyperlink" Target="http://www.tga.gov.au/consumers/information-medicines-cmi.htm"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tga.gov.au/hp/information-medicines-pi.htm" TargetMode="External"/><Relationship Id="rId14" Type="http://schemas.openxmlformats.org/officeDocument/2006/relationships/chart" Target="charts/chart1.xm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www.rch.org.au/uploadedFiles/Main/Content/RESPMED/handbook.pdf" TargetMode="External"/><Relationship Id="rId2" Type="http://schemas.openxmlformats.org/officeDocument/2006/relationships/hyperlink" Target="http://www.cysticfibrosis.org.au/data-registry" TargetMode="External"/><Relationship Id="rId1" Type="http://schemas.openxmlformats.org/officeDocument/2006/relationships/hyperlink" Target="https://www.ebs.tga.gov.au"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'Age distribution'!$G$5</c:f>
              <c:strCache>
                <c:ptCount val="1"/>
                <c:pt idx="0">
                  <c:v>Female</c:v>
                </c:pt>
              </c:strCache>
            </c:strRef>
          </c:tx>
          <c:spPr>
            <a:ln>
              <a:solidFill>
                <a:srgbClr val="C00000"/>
              </a:solidFill>
            </a:ln>
          </c:spPr>
          <c:marker>
            <c:symbol val="diamond"/>
            <c:size val="5"/>
            <c:spPr>
              <a:solidFill>
                <a:srgbClr val="C00000"/>
              </a:solidFill>
              <a:ln>
                <a:solidFill>
                  <a:srgbClr val="C00000"/>
                </a:solidFill>
              </a:ln>
            </c:spPr>
          </c:marker>
          <c:cat>
            <c:strRef>
              <c:f>'Age distribution'!$F$6:$F$18</c:f>
              <c:strCache>
                <c:ptCount val="13"/>
                <c:pt idx="0">
                  <c:v>0-4  yrs</c:v>
                </c:pt>
                <c:pt idx="1">
                  <c:v>5-9  yrs</c:v>
                </c:pt>
                <c:pt idx="2">
                  <c:v>10-14 yrs</c:v>
                </c:pt>
                <c:pt idx="3">
                  <c:v>15-19 yrs</c:v>
                </c:pt>
                <c:pt idx="4">
                  <c:v>20-24 yrs</c:v>
                </c:pt>
                <c:pt idx="5">
                  <c:v>25-29 yrs</c:v>
                </c:pt>
                <c:pt idx="6">
                  <c:v>30-34 yrs</c:v>
                </c:pt>
                <c:pt idx="7">
                  <c:v>35-39 yrs</c:v>
                </c:pt>
                <c:pt idx="8">
                  <c:v>40-44 yrs</c:v>
                </c:pt>
                <c:pt idx="9">
                  <c:v>45-49 yrs</c:v>
                </c:pt>
                <c:pt idx="10">
                  <c:v>50-54 yrs</c:v>
                </c:pt>
                <c:pt idx="11">
                  <c:v>55-59 yrs</c:v>
                </c:pt>
                <c:pt idx="12">
                  <c:v>60-64 yrs</c:v>
                </c:pt>
              </c:strCache>
            </c:strRef>
          </c:cat>
          <c:val>
            <c:numRef>
              <c:f>'Age distribution'!$G$6:$G$18</c:f>
              <c:numCache>
                <c:formatCode>0%</c:formatCode>
                <c:ptCount val="13"/>
                <c:pt idx="0">
                  <c:v>5.2041633306645317E-2</c:v>
                </c:pt>
                <c:pt idx="1">
                  <c:v>0.1257005604483587</c:v>
                </c:pt>
                <c:pt idx="2">
                  <c:v>0.12810248198558846</c:v>
                </c:pt>
                <c:pt idx="3">
                  <c:v>0.14491593274619696</c:v>
                </c:pt>
                <c:pt idx="4">
                  <c:v>0.14971977582065651</c:v>
                </c:pt>
                <c:pt idx="5">
                  <c:v>0.1257005604483587</c:v>
                </c:pt>
                <c:pt idx="6">
                  <c:v>8.4067253803042433E-2</c:v>
                </c:pt>
                <c:pt idx="7">
                  <c:v>6.4851881505204156E-2</c:v>
                </c:pt>
                <c:pt idx="8">
                  <c:v>4.1633306645316254E-2</c:v>
                </c:pt>
                <c:pt idx="9">
                  <c:v>1.6813450760608487E-2</c:v>
                </c:pt>
                <c:pt idx="10">
                  <c:v>1.6012810248198558E-2</c:v>
                </c:pt>
                <c:pt idx="11">
                  <c:v>8.8070456365092076E-3</c:v>
                </c:pt>
                <c:pt idx="12">
                  <c:v>1.6012810248198558E-2</c:v>
                </c:pt>
              </c:numCache>
            </c:numRef>
          </c:val>
          <c:smooth val="0"/>
        </c:ser>
        <c:ser>
          <c:idx val="1"/>
          <c:order val="1"/>
          <c:tx>
            <c:strRef>
              <c:f>'Age distribution'!$H$5</c:f>
              <c:strCache>
                <c:ptCount val="1"/>
                <c:pt idx="0">
                  <c:v>Male</c:v>
                </c:pt>
              </c:strCache>
            </c:strRef>
          </c:tx>
          <c:spPr>
            <a:ln>
              <a:solidFill>
                <a:schemeClr val="tx2">
                  <a:lumMod val="75000"/>
                </a:schemeClr>
              </a:solidFill>
            </a:ln>
          </c:spPr>
          <c:marker>
            <c:symbol val="square"/>
            <c:size val="5"/>
            <c:spPr>
              <a:solidFill>
                <a:schemeClr val="tx2">
                  <a:lumMod val="75000"/>
                </a:schemeClr>
              </a:solidFill>
              <a:ln>
                <a:solidFill>
                  <a:schemeClr val="tx2">
                    <a:lumMod val="75000"/>
                  </a:schemeClr>
                </a:solidFill>
              </a:ln>
            </c:spPr>
          </c:marker>
          <c:cat>
            <c:strRef>
              <c:f>'Age distribution'!$F$6:$F$18</c:f>
              <c:strCache>
                <c:ptCount val="13"/>
                <c:pt idx="0">
                  <c:v>0-4  yrs</c:v>
                </c:pt>
                <c:pt idx="1">
                  <c:v>5-9  yrs</c:v>
                </c:pt>
                <c:pt idx="2">
                  <c:v>10-14 yrs</c:v>
                </c:pt>
                <c:pt idx="3">
                  <c:v>15-19 yrs</c:v>
                </c:pt>
                <c:pt idx="4">
                  <c:v>20-24 yrs</c:v>
                </c:pt>
                <c:pt idx="5">
                  <c:v>25-29 yrs</c:v>
                </c:pt>
                <c:pt idx="6">
                  <c:v>30-34 yrs</c:v>
                </c:pt>
                <c:pt idx="7">
                  <c:v>35-39 yrs</c:v>
                </c:pt>
                <c:pt idx="8">
                  <c:v>40-44 yrs</c:v>
                </c:pt>
                <c:pt idx="9">
                  <c:v>45-49 yrs</c:v>
                </c:pt>
                <c:pt idx="10">
                  <c:v>50-54 yrs</c:v>
                </c:pt>
                <c:pt idx="11">
                  <c:v>55-59 yrs</c:v>
                </c:pt>
                <c:pt idx="12">
                  <c:v>60-64 yrs</c:v>
                </c:pt>
              </c:strCache>
            </c:strRef>
          </c:cat>
          <c:val>
            <c:numRef>
              <c:f>'Age distribution'!$H$6:$H$18</c:f>
              <c:numCache>
                <c:formatCode>0%</c:formatCode>
                <c:ptCount val="13"/>
                <c:pt idx="0">
                  <c:v>3.1611410948342328E-2</c:v>
                </c:pt>
                <c:pt idx="1">
                  <c:v>8.6353122590593676E-2</c:v>
                </c:pt>
                <c:pt idx="2">
                  <c:v>0.1195065535851966</c:v>
                </c:pt>
                <c:pt idx="3">
                  <c:v>0.13646877409406322</c:v>
                </c:pt>
                <c:pt idx="4">
                  <c:v>0.15343099460292983</c:v>
                </c:pt>
                <c:pt idx="5">
                  <c:v>0.14726291441788744</c:v>
                </c:pt>
                <c:pt idx="6">
                  <c:v>0.11642251349267541</c:v>
                </c:pt>
                <c:pt idx="7">
                  <c:v>6.7848882035466462E-2</c:v>
                </c:pt>
                <c:pt idx="8">
                  <c:v>5.6283731688511952E-2</c:v>
                </c:pt>
                <c:pt idx="9">
                  <c:v>3.0069390902081727E-2</c:v>
                </c:pt>
                <c:pt idx="10">
                  <c:v>2.4672320740169621E-2</c:v>
                </c:pt>
                <c:pt idx="11">
                  <c:v>6.9390902081727058E-3</c:v>
                </c:pt>
                <c:pt idx="12">
                  <c:v>5.3970701619121047E-3</c:v>
                </c:pt>
              </c:numCache>
            </c:numRef>
          </c:val>
          <c:smooth val="0"/>
        </c:ser>
        <c:ser>
          <c:idx val="2"/>
          <c:order val="2"/>
          <c:tx>
            <c:strRef>
              <c:f>'Age distribution'!$J$5</c:f>
              <c:strCache>
                <c:ptCount val="1"/>
                <c:pt idx="0">
                  <c:v>Registry population 2012</c:v>
                </c:pt>
              </c:strCache>
            </c:strRef>
          </c:tx>
          <c:spPr>
            <a:ln>
              <a:prstDash val="sysDash"/>
            </a:ln>
          </c:spPr>
          <c:marker>
            <c:symbol val="none"/>
          </c:marker>
          <c:cat>
            <c:strRef>
              <c:f>'Age distribution'!$F$6:$F$18</c:f>
              <c:strCache>
                <c:ptCount val="13"/>
                <c:pt idx="0">
                  <c:v>0-4  yrs</c:v>
                </c:pt>
                <c:pt idx="1">
                  <c:v>5-9  yrs</c:v>
                </c:pt>
                <c:pt idx="2">
                  <c:v>10-14 yrs</c:v>
                </c:pt>
                <c:pt idx="3">
                  <c:v>15-19 yrs</c:v>
                </c:pt>
                <c:pt idx="4">
                  <c:v>20-24 yrs</c:v>
                </c:pt>
                <c:pt idx="5">
                  <c:v>25-29 yrs</c:v>
                </c:pt>
                <c:pt idx="6">
                  <c:v>30-34 yrs</c:v>
                </c:pt>
                <c:pt idx="7">
                  <c:v>35-39 yrs</c:v>
                </c:pt>
                <c:pt idx="8">
                  <c:v>40-44 yrs</c:v>
                </c:pt>
                <c:pt idx="9">
                  <c:v>45-49 yrs</c:v>
                </c:pt>
                <c:pt idx="10">
                  <c:v>50-54 yrs</c:v>
                </c:pt>
                <c:pt idx="11">
                  <c:v>55-59 yrs</c:v>
                </c:pt>
                <c:pt idx="12">
                  <c:v>60-64 yrs</c:v>
                </c:pt>
              </c:strCache>
            </c:strRef>
          </c:cat>
          <c:val>
            <c:numRef>
              <c:f>'Age distribution'!$K$6:$K$18</c:f>
              <c:numCache>
                <c:formatCode>0%</c:formatCode>
                <c:ptCount val="13"/>
                <c:pt idx="0">
                  <c:v>0.13032422123331214</c:v>
                </c:pt>
                <c:pt idx="1">
                  <c:v>0.15766052129688493</c:v>
                </c:pt>
                <c:pt idx="2">
                  <c:v>0.13922441195168467</c:v>
                </c:pt>
                <c:pt idx="3">
                  <c:v>0.12841703750794659</c:v>
                </c:pt>
                <c:pt idx="4">
                  <c:v>0.12460267005721551</c:v>
                </c:pt>
                <c:pt idx="5">
                  <c:v>0.11220597584233948</c:v>
                </c:pt>
                <c:pt idx="6">
                  <c:v>7.7558804831532102E-2</c:v>
                </c:pt>
                <c:pt idx="7">
                  <c:v>5.3719008264462811E-2</c:v>
                </c:pt>
                <c:pt idx="8">
                  <c:v>3.4965034965034968E-2</c:v>
                </c:pt>
                <c:pt idx="9">
                  <c:v>2.0025429116338207E-2</c:v>
                </c:pt>
                <c:pt idx="10">
                  <c:v>1.3986013986013986E-2</c:v>
                </c:pt>
                <c:pt idx="11">
                  <c:v>3.4965034965034965E-3</c:v>
                </c:pt>
                <c:pt idx="12">
                  <c:v>3.8143674507310869E-3</c:v>
                </c:pt>
              </c:numCache>
            </c:numRef>
          </c:val>
          <c:smooth val="0"/>
        </c:ser>
        <c:dLbls>
          <c:showLegendKey val="0"/>
          <c:showVal val="0"/>
          <c:showCatName val="0"/>
          <c:showSerName val="0"/>
          <c:showPercent val="0"/>
          <c:showBubbleSize val="0"/>
        </c:dLbls>
        <c:marker val="1"/>
        <c:smooth val="0"/>
        <c:axId val="36984320"/>
        <c:axId val="158059520"/>
      </c:lineChart>
      <c:catAx>
        <c:axId val="36984320"/>
        <c:scaling>
          <c:orientation val="minMax"/>
        </c:scaling>
        <c:delete val="0"/>
        <c:axPos val="b"/>
        <c:title>
          <c:tx>
            <c:rich>
              <a:bodyPr/>
              <a:lstStyle/>
              <a:p>
                <a:pPr>
                  <a:defRPr/>
                </a:pPr>
                <a:r>
                  <a:rPr lang="en-US" b="0"/>
                  <a:t>Patient age at initiaition</a:t>
                </a:r>
                <a:br>
                  <a:rPr lang="en-US" b="0"/>
                </a:br>
                <a:r>
                  <a:rPr lang="en-US" b="0"/>
                  <a:t>(n=1,916)</a:t>
                </a:r>
              </a:p>
            </c:rich>
          </c:tx>
          <c:layout/>
          <c:overlay val="0"/>
        </c:title>
        <c:majorTickMark val="out"/>
        <c:minorTickMark val="none"/>
        <c:tickLblPos val="nextTo"/>
        <c:crossAx val="158059520"/>
        <c:crosses val="autoZero"/>
        <c:auto val="1"/>
        <c:lblAlgn val="ctr"/>
        <c:lblOffset val="100"/>
        <c:noMultiLvlLbl val="0"/>
      </c:catAx>
      <c:valAx>
        <c:axId val="158059520"/>
        <c:scaling>
          <c:orientation val="minMax"/>
          <c:max val="0.16000000000000003"/>
        </c:scaling>
        <c:delete val="0"/>
        <c:axPos val="l"/>
        <c:majorGridlines/>
        <c:title>
          <c:tx>
            <c:rich>
              <a:bodyPr rot="-5400000" vert="horz"/>
              <a:lstStyle/>
              <a:p>
                <a:pPr>
                  <a:defRPr/>
                </a:pPr>
                <a:r>
                  <a:rPr lang="en-AU" b="0"/>
                  <a:t>Percetnage</a:t>
                </a:r>
                <a:r>
                  <a:rPr lang="en-AU" b="0" baseline="0"/>
                  <a:t> of patients</a:t>
                </a:r>
                <a:endParaRPr lang="en-AU" b="0"/>
              </a:p>
            </c:rich>
          </c:tx>
          <c:layout/>
          <c:overlay val="0"/>
        </c:title>
        <c:numFmt formatCode="0%" sourceLinked="0"/>
        <c:majorTickMark val="out"/>
        <c:minorTickMark val="none"/>
        <c:tickLblPos val="nextTo"/>
        <c:crossAx val="36984320"/>
        <c:crosses val="autoZero"/>
        <c:crossBetween val="midCat"/>
      </c:valAx>
    </c:plotArea>
    <c:legend>
      <c:legendPos val="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'Prescriptions by quarter'!$G$3</c:f>
              <c:strCache>
                <c:ptCount val="1"/>
                <c:pt idx="0">
                  <c:v>Prescriptions</c:v>
                </c:pt>
              </c:strCache>
            </c:strRef>
          </c:tx>
          <c:spPr>
            <a:ln>
              <a:solidFill>
                <a:schemeClr val="accent6">
                  <a:lumMod val="75000"/>
                </a:schemeClr>
              </a:solidFill>
            </a:ln>
          </c:spPr>
          <c:marker>
            <c:spPr>
              <a:solidFill>
                <a:schemeClr val="accent6">
                  <a:lumMod val="75000"/>
                </a:schemeClr>
              </a:solidFill>
              <a:ln>
                <a:solidFill>
                  <a:schemeClr val="accent6">
                    <a:lumMod val="75000"/>
                  </a:schemeClr>
                </a:solidFill>
              </a:ln>
            </c:spPr>
          </c:marker>
          <c:cat>
            <c:strRef>
              <c:f>'Prescriptions by quarter'!$F$4:$F$13</c:f>
              <c:strCache>
                <c:ptCount val="10"/>
                <c:pt idx="0">
                  <c:v>2011-Q4</c:v>
                </c:pt>
                <c:pt idx="1">
                  <c:v>2012-Q1</c:v>
                </c:pt>
                <c:pt idx="2">
                  <c:v>2012-Q2</c:v>
                </c:pt>
                <c:pt idx="3">
                  <c:v>2012-Q3</c:v>
                </c:pt>
                <c:pt idx="4">
                  <c:v>2012-Q4</c:v>
                </c:pt>
                <c:pt idx="5">
                  <c:v>2013-Q1</c:v>
                </c:pt>
                <c:pt idx="6">
                  <c:v>2013-Q2</c:v>
                </c:pt>
                <c:pt idx="7">
                  <c:v>2013-Q3</c:v>
                </c:pt>
                <c:pt idx="8">
                  <c:v>2013-Q4</c:v>
                </c:pt>
                <c:pt idx="9">
                  <c:v>2014-Q1</c:v>
                </c:pt>
              </c:strCache>
            </c:strRef>
          </c:cat>
          <c:val>
            <c:numRef>
              <c:f>'Prescriptions by quarter'!$G$4:$G$13</c:f>
              <c:numCache>
                <c:formatCode>#,##0</c:formatCode>
                <c:ptCount val="10"/>
                <c:pt idx="0">
                  <c:v>444</c:v>
                </c:pt>
                <c:pt idx="1">
                  <c:v>689</c:v>
                </c:pt>
                <c:pt idx="2">
                  <c:v>837</c:v>
                </c:pt>
                <c:pt idx="3">
                  <c:v>888</c:v>
                </c:pt>
                <c:pt idx="4">
                  <c:v>955</c:v>
                </c:pt>
                <c:pt idx="5">
                  <c:v>764</c:v>
                </c:pt>
                <c:pt idx="6">
                  <c:v>936</c:v>
                </c:pt>
                <c:pt idx="7">
                  <c:v>947</c:v>
                </c:pt>
                <c:pt idx="8">
                  <c:v>993</c:v>
                </c:pt>
                <c:pt idx="9">
                  <c:v>785</c:v>
                </c:pt>
              </c:numCache>
            </c:numRef>
          </c:val>
          <c:smooth val="0"/>
        </c:ser>
        <c:dLbls>
          <c:showLegendKey val="0"/>
          <c:showVal val="0"/>
          <c:showCatName val="0"/>
          <c:showSerName val="0"/>
          <c:showPercent val="0"/>
          <c:showBubbleSize val="0"/>
        </c:dLbls>
        <c:marker val="1"/>
        <c:smooth val="0"/>
        <c:axId val="161432704"/>
        <c:axId val="161435008"/>
      </c:lineChart>
      <c:lineChart>
        <c:grouping val="standard"/>
        <c:varyColors val="0"/>
        <c:ser>
          <c:idx val="1"/>
          <c:order val="1"/>
          <c:tx>
            <c:strRef>
              <c:f>'Prescriptions by quarter'!$H$3</c:f>
              <c:strCache>
                <c:ptCount val="1"/>
                <c:pt idx="0">
                  <c:v>Quantity (vials)</c:v>
                </c:pt>
              </c:strCache>
            </c:strRef>
          </c:tx>
          <c:spPr>
            <a:ln>
              <a:solidFill>
                <a:schemeClr val="accent5">
                  <a:lumMod val="75000"/>
                </a:schemeClr>
              </a:solidFill>
            </a:ln>
          </c:spPr>
          <c:marker>
            <c:spPr>
              <a:solidFill>
                <a:schemeClr val="accent5">
                  <a:lumMod val="75000"/>
                </a:schemeClr>
              </a:solidFill>
              <a:ln>
                <a:solidFill>
                  <a:schemeClr val="accent5">
                    <a:lumMod val="75000"/>
                  </a:schemeClr>
                </a:solidFill>
              </a:ln>
            </c:spPr>
          </c:marker>
          <c:cat>
            <c:strRef>
              <c:f>'Prescriptions by quarter'!$F$4:$F$13</c:f>
              <c:strCache>
                <c:ptCount val="10"/>
                <c:pt idx="0">
                  <c:v>2011-Q4</c:v>
                </c:pt>
                <c:pt idx="1">
                  <c:v>2012-Q1</c:v>
                </c:pt>
                <c:pt idx="2">
                  <c:v>2012-Q2</c:v>
                </c:pt>
                <c:pt idx="3">
                  <c:v>2012-Q3</c:v>
                </c:pt>
                <c:pt idx="4">
                  <c:v>2012-Q4</c:v>
                </c:pt>
                <c:pt idx="5">
                  <c:v>2013-Q1</c:v>
                </c:pt>
                <c:pt idx="6">
                  <c:v>2013-Q2</c:v>
                </c:pt>
                <c:pt idx="7">
                  <c:v>2013-Q3</c:v>
                </c:pt>
                <c:pt idx="8">
                  <c:v>2013-Q4</c:v>
                </c:pt>
                <c:pt idx="9">
                  <c:v>2014-Q1</c:v>
                </c:pt>
              </c:strCache>
            </c:strRef>
          </c:cat>
          <c:val>
            <c:numRef>
              <c:f>'Prescriptions by quarter'!$H$4:$H$13</c:f>
              <c:numCache>
                <c:formatCode>#,##0</c:formatCode>
                <c:ptCount val="10"/>
                <c:pt idx="0">
                  <c:v>24640</c:v>
                </c:pt>
                <c:pt idx="1">
                  <c:v>38366</c:v>
                </c:pt>
                <c:pt idx="2">
                  <c:v>46432</c:v>
                </c:pt>
                <c:pt idx="3">
                  <c:v>49490</c:v>
                </c:pt>
                <c:pt idx="4">
                  <c:v>53022</c:v>
                </c:pt>
                <c:pt idx="5">
                  <c:v>42644</c:v>
                </c:pt>
                <c:pt idx="6">
                  <c:v>52118</c:v>
                </c:pt>
                <c:pt idx="7">
                  <c:v>52948</c:v>
                </c:pt>
                <c:pt idx="8">
                  <c:v>55356</c:v>
                </c:pt>
                <c:pt idx="9">
                  <c:v>43778</c:v>
                </c:pt>
              </c:numCache>
            </c:numRef>
          </c:val>
          <c:smooth val="0"/>
        </c:ser>
        <c:dLbls>
          <c:showLegendKey val="0"/>
          <c:showVal val="0"/>
          <c:showCatName val="0"/>
          <c:showSerName val="0"/>
          <c:showPercent val="0"/>
          <c:showBubbleSize val="0"/>
        </c:dLbls>
        <c:marker val="1"/>
        <c:smooth val="0"/>
        <c:axId val="161447296"/>
        <c:axId val="161445376"/>
      </c:lineChart>
      <c:catAx>
        <c:axId val="161432704"/>
        <c:scaling>
          <c:orientation val="minMax"/>
        </c:scaling>
        <c:delete val="0"/>
        <c:axPos val="b"/>
        <c:title>
          <c:tx>
            <c:rich>
              <a:bodyPr/>
              <a:lstStyle/>
              <a:p>
                <a:pPr>
                  <a:defRPr/>
                </a:pPr>
                <a:r>
                  <a:rPr lang="en-AU" b="0"/>
                  <a:t>Quarter</a:t>
                </a:r>
                <a:r>
                  <a:rPr lang="en-AU" b="0" baseline="0"/>
                  <a:t> of Supply</a:t>
                </a:r>
                <a:endParaRPr lang="en-AU" b="0"/>
              </a:p>
            </c:rich>
          </c:tx>
          <c:layout/>
          <c:overlay val="0"/>
        </c:title>
        <c:majorTickMark val="out"/>
        <c:minorTickMark val="none"/>
        <c:tickLblPos val="nextTo"/>
        <c:crossAx val="161435008"/>
        <c:crosses val="autoZero"/>
        <c:auto val="1"/>
        <c:lblAlgn val="ctr"/>
        <c:lblOffset val="100"/>
        <c:noMultiLvlLbl val="0"/>
      </c:catAx>
      <c:valAx>
        <c:axId val="161435008"/>
        <c:scaling>
          <c:orientation val="minMax"/>
        </c:scaling>
        <c:delete val="0"/>
        <c:axPos val="l"/>
        <c:majorGridlines/>
        <c:title>
          <c:tx>
            <c:rich>
              <a:bodyPr rot="-5400000" vert="horz"/>
              <a:lstStyle/>
              <a:p>
                <a:pPr>
                  <a:defRPr/>
                </a:pPr>
                <a:r>
                  <a:rPr lang="en-AU" b="0"/>
                  <a:t>Number of prescriptions</a:t>
                </a:r>
              </a:p>
            </c:rich>
          </c:tx>
          <c:layout/>
          <c:overlay val="0"/>
        </c:title>
        <c:numFmt formatCode="#,##0" sourceLinked="1"/>
        <c:majorTickMark val="out"/>
        <c:minorTickMark val="none"/>
        <c:tickLblPos val="nextTo"/>
        <c:crossAx val="161432704"/>
        <c:crosses val="autoZero"/>
        <c:crossBetween val="midCat"/>
      </c:valAx>
      <c:valAx>
        <c:axId val="161445376"/>
        <c:scaling>
          <c:orientation val="minMax"/>
        </c:scaling>
        <c:delete val="0"/>
        <c:axPos val="r"/>
        <c:title>
          <c:tx>
            <c:rich>
              <a:bodyPr rot="-5400000" vert="horz"/>
              <a:lstStyle/>
              <a:p>
                <a:pPr>
                  <a:defRPr/>
                </a:pPr>
                <a:r>
                  <a:rPr lang="en-AU" b="0"/>
                  <a:t>Quantity (vials)</a:t>
                </a:r>
              </a:p>
            </c:rich>
          </c:tx>
          <c:layout/>
          <c:overlay val="0"/>
        </c:title>
        <c:numFmt formatCode="#,##0" sourceLinked="1"/>
        <c:majorTickMark val="out"/>
        <c:minorTickMark val="none"/>
        <c:tickLblPos val="nextTo"/>
        <c:crossAx val="161447296"/>
        <c:crosses val="max"/>
        <c:crossBetween val="between"/>
      </c:valAx>
      <c:catAx>
        <c:axId val="161447296"/>
        <c:scaling>
          <c:orientation val="minMax"/>
        </c:scaling>
        <c:delete val="1"/>
        <c:axPos val="b"/>
        <c:majorTickMark val="out"/>
        <c:minorTickMark val="none"/>
        <c:tickLblPos val="nextTo"/>
        <c:crossAx val="161445376"/>
        <c:crosses val="autoZero"/>
        <c:auto val="1"/>
        <c:lblAlgn val="ctr"/>
        <c:lblOffset val="100"/>
        <c:noMultiLvlLbl val="0"/>
      </c:catAx>
    </c:plotArea>
    <c:legend>
      <c:legendPos val="t"/>
      <c:layout/>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'Scripts per 12 months'!$H$2</c:f>
              <c:strCache>
                <c:ptCount val="1"/>
                <c:pt idx="0">
                  <c:v>0-9yrs</c:v>
                </c:pt>
              </c:strCache>
            </c:strRef>
          </c:tx>
          <c:spPr>
            <a:ln>
              <a:solidFill>
                <a:srgbClr val="7030A0"/>
              </a:solidFill>
            </a:ln>
          </c:spPr>
          <c:marker>
            <c:spPr>
              <a:solidFill>
                <a:srgbClr val="7030A0"/>
              </a:solidFill>
              <a:ln>
                <a:solidFill>
                  <a:srgbClr val="7030A0"/>
                </a:solidFill>
              </a:ln>
            </c:spPr>
          </c:marker>
          <c:cat>
            <c:numRef>
              <c:f>'Scripts per 12 months'!$G$3:$G$16</c:f>
              <c:numCache>
                <c:formatCode>General</c:formatCode>
                <c:ptCount val="14"/>
                <c:pt idx="0">
                  <c:v>1</c:v>
                </c:pt>
                <c:pt idx="1">
                  <c:v>2</c:v>
                </c:pt>
                <c:pt idx="2">
                  <c:v>3</c:v>
                </c:pt>
                <c:pt idx="3">
                  <c:v>4</c:v>
                </c:pt>
                <c:pt idx="4">
                  <c:v>5</c:v>
                </c:pt>
                <c:pt idx="5">
                  <c:v>6</c:v>
                </c:pt>
                <c:pt idx="6">
                  <c:v>7</c:v>
                </c:pt>
                <c:pt idx="7">
                  <c:v>8</c:v>
                </c:pt>
                <c:pt idx="8">
                  <c:v>9</c:v>
                </c:pt>
                <c:pt idx="9">
                  <c:v>10</c:v>
                </c:pt>
                <c:pt idx="10">
                  <c:v>11</c:v>
                </c:pt>
                <c:pt idx="11">
                  <c:v>12</c:v>
                </c:pt>
                <c:pt idx="12">
                  <c:v>13</c:v>
                </c:pt>
                <c:pt idx="13">
                  <c:v>14</c:v>
                </c:pt>
              </c:numCache>
            </c:numRef>
          </c:cat>
          <c:val>
            <c:numRef>
              <c:f>'Scripts per 12 months'!$H$3:$H$16</c:f>
              <c:numCache>
                <c:formatCode>General</c:formatCode>
                <c:ptCount val="14"/>
                <c:pt idx="0">
                  <c:v>0.21551724137931033</c:v>
                </c:pt>
                <c:pt idx="1">
                  <c:v>0.21982758620689655</c:v>
                </c:pt>
                <c:pt idx="2">
                  <c:v>0.2413793103448276</c:v>
                </c:pt>
                <c:pt idx="3">
                  <c:v>8.6206896551724144E-2</c:v>
                </c:pt>
                <c:pt idx="4">
                  <c:v>9.4827586206896547E-2</c:v>
                </c:pt>
                <c:pt idx="5">
                  <c:v>6.8965517241379309E-2</c:v>
                </c:pt>
                <c:pt idx="6">
                  <c:v>4.7413793103448273E-2</c:v>
                </c:pt>
                <c:pt idx="7">
                  <c:v>1.2931034482758621E-2</c:v>
                </c:pt>
                <c:pt idx="8">
                  <c:v>1.2931034482758621E-2</c:v>
                </c:pt>
                <c:pt idx="9">
                  <c:v>0</c:v>
                </c:pt>
                <c:pt idx="10">
                  <c:v>0</c:v>
                </c:pt>
                <c:pt idx="11">
                  <c:v>0</c:v>
                </c:pt>
                <c:pt idx="12">
                  <c:v>0</c:v>
                </c:pt>
                <c:pt idx="13">
                  <c:v>0</c:v>
                </c:pt>
              </c:numCache>
            </c:numRef>
          </c:val>
          <c:smooth val="0"/>
        </c:ser>
        <c:ser>
          <c:idx val="1"/>
          <c:order val="1"/>
          <c:tx>
            <c:strRef>
              <c:f>'Scripts per 12 months'!$I$2</c:f>
              <c:strCache>
                <c:ptCount val="1"/>
                <c:pt idx="0">
                  <c:v>10-14yrs</c:v>
                </c:pt>
              </c:strCache>
            </c:strRef>
          </c:tx>
          <c:spPr>
            <a:ln>
              <a:solidFill>
                <a:schemeClr val="accent5">
                  <a:lumMod val="75000"/>
                </a:schemeClr>
              </a:solidFill>
              <a:prstDash val="sysDash"/>
            </a:ln>
          </c:spPr>
          <c:marker>
            <c:spPr>
              <a:solidFill>
                <a:schemeClr val="accent5">
                  <a:lumMod val="75000"/>
                </a:schemeClr>
              </a:solidFill>
              <a:ln>
                <a:solidFill>
                  <a:schemeClr val="accent5">
                    <a:lumMod val="75000"/>
                  </a:schemeClr>
                </a:solidFill>
              </a:ln>
            </c:spPr>
          </c:marker>
          <c:cat>
            <c:numRef>
              <c:f>'Scripts per 12 months'!$G$3:$G$16</c:f>
              <c:numCache>
                <c:formatCode>General</c:formatCode>
                <c:ptCount val="14"/>
                <c:pt idx="0">
                  <c:v>1</c:v>
                </c:pt>
                <c:pt idx="1">
                  <c:v>2</c:v>
                </c:pt>
                <c:pt idx="2">
                  <c:v>3</c:v>
                </c:pt>
                <c:pt idx="3">
                  <c:v>4</c:v>
                </c:pt>
                <c:pt idx="4">
                  <c:v>5</c:v>
                </c:pt>
                <c:pt idx="5">
                  <c:v>6</c:v>
                </c:pt>
                <c:pt idx="6">
                  <c:v>7</c:v>
                </c:pt>
                <c:pt idx="7">
                  <c:v>8</c:v>
                </c:pt>
                <c:pt idx="8">
                  <c:v>9</c:v>
                </c:pt>
                <c:pt idx="9">
                  <c:v>10</c:v>
                </c:pt>
                <c:pt idx="10">
                  <c:v>11</c:v>
                </c:pt>
                <c:pt idx="11">
                  <c:v>12</c:v>
                </c:pt>
                <c:pt idx="12">
                  <c:v>13</c:v>
                </c:pt>
                <c:pt idx="13">
                  <c:v>14</c:v>
                </c:pt>
              </c:numCache>
            </c:numRef>
          </c:cat>
          <c:val>
            <c:numRef>
              <c:f>'Scripts per 12 months'!$I$3:$I$16</c:f>
              <c:numCache>
                <c:formatCode>General</c:formatCode>
                <c:ptCount val="14"/>
                <c:pt idx="0">
                  <c:v>0.23316062176165803</c:v>
                </c:pt>
                <c:pt idx="1">
                  <c:v>0.19170984455958548</c:v>
                </c:pt>
                <c:pt idx="2">
                  <c:v>0.21243523316062177</c:v>
                </c:pt>
                <c:pt idx="3">
                  <c:v>9.8445595854922283E-2</c:v>
                </c:pt>
                <c:pt idx="4">
                  <c:v>8.2901554404145081E-2</c:v>
                </c:pt>
                <c:pt idx="5">
                  <c:v>0.10880829015544041</c:v>
                </c:pt>
                <c:pt idx="6">
                  <c:v>2.5906735751295335E-2</c:v>
                </c:pt>
                <c:pt idx="7">
                  <c:v>2.072538860103627E-2</c:v>
                </c:pt>
                <c:pt idx="8">
                  <c:v>1.5544041450777202E-2</c:v>
                </c:pt>
                <c:pt idx="9">
                  <c:v>1.0362694300518135E-2</c:v>
                </c:pt>
                <c:pt idx="10">
                  <c:v>0</c:v>
                </c:pt>
                <c:pt idx="11">
                  <c:v>0</c:v>
                </c:pt>
                <c:pt idx="12">
                  <c:v>0</c:v>
                </c:pt>
                <c:pt idx="13">
                  <c:v>0</c:v>
                </c:pt>
              </c:numCache>
            </c:numRef>
          </c:val>
          <c:smooth val="0"/>
        </c:ser>
        <c:ser>
          <c:idx val="2"/>
          <c:order val="2"/>
          <c:tx>
            <c:strRef>
              <c:f>'Scripts per 12 months'!$J$2</c:f>
              <c:strCache>
                <c:ptCount val="1"/>
                <c:pt idx="0">
                  <c:v>&gt;=15yrs</c:v>
                </c:pt>
              </c:strCache>
            </c:strRef>
          </c:tx>
          <c:spPr>
            <a:ln>
              <a:solidFill>
                <a:srgbClr val="C00000"/>
              </a:solidFill>
            </a:ln>
          </c:spPr>
          <c:marker>
            <c:spPr>
              <a:solidFill>
                <a:srgbClr val="C00000"/>
              </a:solidFill>
              <a:ln>
                <a:solidFill>
                  <a:srgbClr val="C00000"/>
                </a:solidFill>
              </a:ln>
            </c:spPr>
          </c:marker>
          <c:cat>
            <c:numRef>
              <c:f>'Scripts per 12 months'!$G$3:$G$16</c:f>
              <c:numCache>
                <c:formatCode>General</c:formatCode>
                <c:ptCount val="14"/>
                <c:pt idx="0">
                  <c:v>1</c:v>
                </c:pt>
                <c:pt idx="1">
                  <c:v>2</c:v>
                </c:pt>
                <c:pt idx="2">
                  <c:v>3</c:v>
                </c:pt>
                <c:pt idx="3">
                  <c:v>4</c:v>
                </c:pt>
                <c:pt idx="4">
                  <c:v>5</c:v>
                </c:pt>
                <c:pt idx="5">
                  <c:v>6</c:v>
                </c:pt>
                <c:pt idx="6">
                  <c:v>7</c:v>
                </c:pt>
                <c:pt idx="7">
                  <c:v>8</c:v>
                </c:pt>
                <c:pt idx="8">
                  <c:v>9</c:v>
                </c:pt>
                <c:pt idx="9">
                  <c:v>10</c:v>
                </c:pt>
                <c:pt idx="10">
                  <c:v>11</c:v>
                </c:pt>
                <c:pt idx="11">
                  <c:v>12</c:v>
                </c:pt>
                <c:pt idx="12">
                  <c:v>13</c:v>
                </c:pt>
                <c:pt idx="13">
                  <c:v>14</c:v>
                </c:pt>
              </c:numCache>
            </c:numRef>
          </c:cat>
          <c:val>
            <c:numRef>
              <c:f>'Scripts per 12 months'!$J$3:$J$16</c:f>
              <c:numCache>
                <c:formatCode>General</c:formatCode>
                <c:ptCount val="14"/>
                <c:pt idx="0">
                  <c:v>0.24718045112781956</c:v>
                </c:pt>
                <c:pt idx="1">
                  <c:v>0.21334586466165414</c:v>
                </c:pt>
                <c:pt idx="2">
                  <c:v>0.18515037593984962</c:v>
                </c:pt>
                <c:pt idx="3">
                  <c:v>0.11654135338345864</c:v>
                </c:pt>
                <c:pt idx="4">
                  <c:v>7.4248120300751883E-2</c:v>
                </c:pt>
                <c:pt idx="5">
                  <c:v>7.9887218045112784E-2</c:v>
                </c:pt>
                <c:pt idx="6">
                  <c:v>4.1353383458646614E-2</c:v>
                </c:pt>
                <c:pt idx="7">
                  <c:v>1.5037593984962405E-2</c:v>
                </c:pt>
                <c:pt idx="8">
                  <c:v>1.2218045112781954E-2</c:v>
                </c:pt>
                <c:pt idx="9">
                  <c:v>3.7593984962406013E-3</c:v>
                </c:pt>
                <c:pt idx="10">
                  <c:v>4.6992481203007516E-3</c:v>
                </c:pt>
                <c:pt idx="11">
                  <c:v>9.3984962406015032E-4</c:v>
                </c:pt>
                <c:pt idx="12">
                  <c:v>4.6992481203007516E-3</c:v>
                </c:pt>
                <c:pt idx="13">
                  <c:v>9.3984962406015032E-4</c:v>
                </c:pt>
              </c:numCache>
            </c:numRef>
          </c:val>
          <c:smooth val="0"/>
        </c:ser>
        <c:dLbls>
          <c:showLegendKey val="0"/>
          <c:showVal val="0"/>
          <c:showCatName val="0"/>
          <c:showSerName val="0"/>
          <c:showPercent val="0"/>
          <c:showBubbleSize val="0"/>
        </c:dLbls>
        <c:marker val="1"/>
        <c:smooth val="0"/>
        <c:axId val="164172544"/>
        <c:axId val="164174464"/>
      </c:lineChart>
      <c:catAx>
        <c:axId val="164172544"/>
        <c:scaling>
          <c:orientation val="minMax"/>
        </c:scaling>
        <c:delete val="0"/>
        <c:axPos val="b"/>
        <c:title>
          <c:tx>
            <c:rich>
              <a:bodyPr/>
              <a:lstStyle/>
              <a:p>
                <a:pPr>
                  <a:defRPr/>
                </a:pPr>
                <a:r>
                  <a:rPr lang="en-AU" b="0"/>
                  <a:t>Number</a:t>
                </a:r>
                <a:r>
                  <a:rPr lang="en-AU" b="0" baseline="0"/>
                  <a:t> of prescriptions over 12 months</a:t>
                </a:r>
              </a:p>
              <a:p>
                <a:pPr>
                  <a:defRPr/>
                </a:pPr>
                <a:r>
                  <a:rPr lang="en-AU" b="0" baseline="0"/>
                  <a:t>(n=1,489)</a:t>
                </a:r>
                <a:endParaRPr lang="en-AU" b="0"/>
              </a:p>
            </c:rich>
          </c:tx>
          <c:layout/>
          <c:overlay val="0"/>
        </c:title>
        <c:numFmt formatCode="General" sourceLinked="1"/>
        <c:majorTickMark val="out"/>
        <c:minorTickMark val="none"/>
        <c:tickLblPos val="nextTo"/>
        <c:crossAx val="164174464"/>
        <c:crosses val="autoZero"/>
        <c:auto val="1"/>
        <c:lblAlgn val="ctr"/>
        <c:lblOffset val="100"/>
        <c:noMultiLvlLbl val="0"/>
      </c:catAx>
      <c:valAx>
        <c:axId val="164174464"/>
        <c:scaling>
          <c:orientation val="minMax"/>
        </c:scaling>
        <c:delete val="0"/>
        <c:axPos val="l"/>
        <c:majorGridlines/>
        <c:title>
          <c:tx>
            <c:rich>
              <a:bodyPr rot="-5400000" vert="horz"/>
              <a:lstStyle/>
              <a:p>
                <a:pPr>
                  <a:defRPr/>
                </a:pPr>
                <a:r>
                  <a:rPr lang="en-AU" b="0"/>
                  <a:t>Percentage</a:t>
                </a:r>
                <a:r>
                  <a:rPr lang="en-AU" b="0" baseline="0"/>
                  <a:t> of patients</a:t>
                </a:r>
                <a:endParaRPr lang="en-AU" b="0"/>
              </a:p>
            </c:rich>
          </c:tx>
          <c:layout/>
          <c:overlay val="0"/>
        </c:title>
        <c:numFmt formatCode="0%" sourceLinked="0"/>
        <c:majorTickMark val="out"/>
        <c:minorTickMark val="none"/>
        <c:tickLblPos val="nextTo"/>
        <c:crossAx val="164172544"/>
        <c:crosses val="autoZero"/>
        <c:crossBetween val="midCat"/>
      </c:valAx>
    </c:plotArea>
    <c:legend>
      <c:legendPos val="t"/>
      <c:layout/>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'Time to refill'!$J$4</c:f>
              <c:strCache>
                <c:ptCount val="1"/>
                <c:pt idx="0">
                  <c:v>0-9yrs</c:v>
                </c:pt>
              </c:strCache>
            </c:strRef>
          </c:tx>
          <c:spPr>
            <a:ln>
              <a:solidFill>
                <a:srgbClr val="7030A0"/>
              </a:solidFill>
            </a:ln>
          </c:spPr>
          <c:marker>
            <c:symbol val="none"/>
          </c:marker>
          <c:cat>
            <c:strRef>
              <c:f>'Time to refill'!$I$5:$I$29</c:f>
              <c:strCache>
                <c:ptCount val="25"/>
                <c:pt idx="0">
                  <c:v>0-6</c:v>
                </c:pt>
                <c:pt idx="1">
                  <c:v>7-13</c:v>
                </c:pt>
                <c:pt idx="2">
                  <c:v>14-20</c:v>
                </c:pt>
                <c:pt idx="3">
                  <c:v>21-27</c:v>
                </c:pt>
                <c:pt idx="4">
                  <c:v>28-34</c:v>
                </c:pt>
                <c:pt idx="5">
                  <c:v>35-41</c:v>
                </c:pt>
                <c:pt idx="6">
                  <c:v>42-48</c:v>
                </c:pt>
                <c:pt idx="7">
                  <c:v>49-55</c:v>
                </c:pt>
                <c:pt idx="8">
                  <c:v>56-62</c:v>
                </c:pt>
                <c:pt idx="9">
                  <c:v>63-69</c:v>
                </c:pt>
                <c:pt idx="10">
                  <c:v>70-76</c:v>
                </c:pt>
                <c:pt idx="11">
                  <c:v>77-83</c:v>
                </c:pt>
                <c:pt idx="12">
                  <c:v>84-90</c:v>
                </c:pt>
                <c:pt idx="13">
                  <c:v>91-97</c:v>
                </c:pt>
                <c:pt idx="14">
                  <c:v>98-104</c:v>
                </c:pt>
                <c:pt idx="15">
                  <c:v>105-111</c:v>
                </c:pt>
                <c:pt idx="16">
                  <c:v>112-118</c:v>
                </c:pt>
                <c:pt idx="17">
                  <c:v>119-125</c:v>
                </c:pt>
                <c:pt idx="18">
                  <c:v>126-132</c:v>
                </c:pt>
                <c:pt idx="19">
                  <c:v>133-139</c:v>
                </c:pt>
                <c:pt idx="20">
                  <c:v>140-146</c:v>
                </c:pt>
                <c:pt idx="21">
                  <c:v>147-153</c:v>
                </c:pt>
                <c:pt idx="22">
                  <c:v>154-160</c:v>
                </c:pt>
                <c:pt idx="23">
                  <c:v>161-167</c:v>
                </c:pt>
                <c:pt idx="24">
                  <c:v>168-174</c:v>
                </c:pt>
              </c:strCache>
            </c:strRef>
          </c:cat>
          <c:val>
            <c:numRef>
              <c:f>'Time to refill'!$J$5:$J$29</c:f>
              <c:numCache>
                <c:formatCode>0%</c:formatCode>
                <c:ptCount val="25"/>
                <c:pt idx="0">
                  <c:v>7.2727272727272835E-2</c:v>
                </c:pt>
                <c:pt idx="1">
                  <c:v>1.0101010101010111E-2</c:v>
                </c:pt>
                <c:pt idx="2">
                  <c:v>4.0404040404040484E-2</c:v>
                </c:pt>
                <c:pt idx="3">
                  <c:v>0.1232323232323234</c:v>
                </c:pt>
                <c:pt idx="4">
                  <c:v>0.13939393939393957</c:v>
                </c:pt>
                <c:pt idx="5">
                  <c:v>8.2828282828282918E-2</c:v>
                </c:pt>
                <c:pt idx="6">
                  <c:v>5.454545454545473E-2</c:v>
                </c:pt>
                <c:pt idx="7">
                  <c:v>4.2424242424242697E-2</c:v>
                </c:pt>
                <c:pt idx="8">
                  <c:v>5.4545454545454786E-2</c:v>
                </c:pt>
                <c:pt idx="9">
                  <c:v>6.2626262626262919E-2</c:v>
                </c:pt>
                <c:pt idx="10">
                  <c:v>2.8282828282828465E-2</c:v>
                </c:pt>
                <c:pt idx="11">
                  <c:v>3.0303030303030498E-2</c:v>
                </c:pt>
                <c:pt idx="12">
                  <c:v>2.6262626262626432E-2</c:v>
                </c:pt>
                <c:pt idx="13">
                  <c:v>2.2222222222222365E-2</c:v>
                </c:pt>
                <c:pt idx="14">
                  <c:v>2.4242424242424399E-2</c:v>
                </c:pt>
                <c:pt idx="15">
                  <c:v>2.6262626262626432E-2</c:v>
                </c:pt>
                <c:pt idx="16">
                  <c:v>1.0101010101010166E-2</c:v>
                </c:pt>
                <c:pt idx="17">
                  <c:v>8.0808080808081328E-3</c:v>
                </c:pt>
                <c:pt idx="18">
                  <c:v>4.0404040404040664E-3</c:v>
                </c:pt>
                <c:pt idx="19">
                  <c:v>1.4141414141414232E-2</c:v>
                </c:pt>
                <c:pt idx="20">
                  <c:v>1.0101010101010166E-2</c:v>
                </c:pt>
                <c:pt idx="21">
                  <c:v>1.4141414141414232E-2</c:v>
                </c:pt>
                <c:pt idx="22">
                  <c:v>8.0808080808081328E-3</c:v>
                </c:pt>
                <c:pt idx="23">
                  <c:v>1.0101010101010166E-2</c:v>
                </c:pt>
                <c:pt idx="24">
                  <c:v>4.0404040404040664E-3</c:v>
                </c:pt>
              </c:numCache>
            </c:numRef>
          </c:val>
          <c:smooth val="0"/>
        </c:ser>
        <c:ser>
          <c:idx val="1"/>
          <c:order val="1"/>
          <c:tx>
            <c:strRef>
              <c:f>'Time to refill'!$K$4</c:f>
              <c:strCache>
                <c:ptCount val="1"/>
                <c:pt idx="0">
                  <c:v>10-14yrs</c:v>
                </c:pt>
              </c:strCache>
            </c:strRef>
          </c:tx>
          <c:spPr>
            <a:ln>
              <a:solidFill>
                <a:schemeClr val="accent5">
                  <a:lumMod val="75000"/>
                </a:schemeClr>
              </a:solidFill>
              <a:prstDash val="sysDash"/>
            </a:ln>
          </c:spPr>
          <c:marker>
            <c:symbol val="none"/>
          </c:marker>
          <c:cat>
            <c:strRef>
              <c:f>'Time to refill'!$I$5:$I$29</c:f>
              <c:strCache>
                <c:ptCount val="25"/>
                <c:pt idx="0">
                  <c:v>0-6</c:v>
                </c:pt>
                <c:pt idx="1">
                  <c:v>7-13</c:v>
                </c:pt>
                <c:pt idx="2">
                  <c:v>14-20</c:v>
                </c:pt>
                <c:pt idx="3">
                  <c:v>21-27</c:v>
                </c:pt>
                <c:pt idx="4">
                  <c:v>28-34</c:v>
                </c:pt>
                <c:pt idx="5">
                  <c:v>35-41</c:v>
                </c:pt>
                <c:pt idx="6">
                  <c:v>42-48</c:v>
                </c:pt>
                <c:pt idx="7">
                  <c:v>49-55</c:v>
                </c:pt>
                <c:pt idx="8">
                  <c:v>56-62</c:v>
                </c:pt>
                <c:pt idx="9">
                  <c:v>63-69</c:v>
                </c:pt>
                <c:pt idx="10">
                  <c:v>70-76</c:v>
                </c:pt>
                <c:pt idx="11">
                  <c:v>77-83</c:v>
                </c:pt>
                <c:pt idx="12">
                  <c:v>84-90</c:v>
                </c:pt>
                <c:pt idx="13">
                  <c:v>91-97</c:v>
                </c:pt>
                <c:pt idx="14">
                  <c:v>98-104</c:v>
                </c:pt>
                <c:pt idx="15">
                  <c:v>105-111</c:v>
                </c:pt>
                <c:pt idx="16">
                  <c:v>112-118</c:v>
                </c:pt>
                <c:pt idx="17">
                  <c:v>119-125</c:v>
                </c:pt>
                <c:pt idx="18">
                  <c:v>126-132</c:v>
                </c:pt>
                <c:pt idx="19">
                  <c:v>133-139</c:v>
                </c:pt>
                <c:pt idx="20">
                  <c:v>140-146</c:v>
                </c:pt>
                <c:pt idx="21">
                  <c:v>147-153</c:v>
                </c:pt>
                <c:pt idx="22">
                  <c:v>154-160</c:v>
                </c:pt>
                <c:pt idx="23">
                  <c:v>161-167</c:v>
                </c:pt>
                <c:pt idx="24">
                  <c:v>168-174</c:v>
                </c:pt>
              </c:strCache>
            </c:strRef>
          </c:cat>
          <c:val>
            <c:numRef>
              <c:f>'Time to refill'!$K$5:$K$29</c:f>
              <c:numCache>
                <c:formatCode>0%</c:formatCode>
                <c:ptCount val="25"/>
                <c:pt idx="0">
                  <c:v>4.2986425339366592E-2</c:v>
                </c:pt>
                <c:pt idx="1">
                  <c:v>2.0361990950226276E-2</c:v>
                </c:pt>
                <c:pt idx="2">
                  <c:v>4.2986425339366627E-2</c:v>
                </c:pt>
                <c:pt idx="3">
                  <c:v>7.692307692307708E-2</c:v>
                </c:pt>
                <c:pt idx="4">
                  <c:v>9.0497737556561236E-2</c:v>
                </c:pt>
                <c:pt idx="5">
                  <c:v>9.0497737556561264E-2</c:v>
                </c:pt>
                <c:pt idx="6">
                  <c:v>4.7511312217194734E-2</c:v>
                </c:pt>
                <c:pt idx="7">
                  <c:v>8.5972850678733115E-2</c:v>
                </c:pt>
                <c:pt idx="8">
                  <c:v>6.5610859728506721E-2</c:v>
                </c:pt>
                <c:pt idx="9">
                  <c:v>6.5610859728506776E-2</c:v>
                </c:pt>
                <c:pt idx="10">
                  <c:v>4.9773755656108531E-2</c:v>
                </c:pt>
                <c:pt idx="11">
                  <c:v>3.8461538461538436E-2</c:v>
                </c:pt>
                <c:pt idx="12">
                  <c:v>2.2624434389140191E-2</c:v>
                </c:pt>
                <c:pt idx="13">
                  <c:v>2.9411764705882248E-2</c:v>
                </c:pt>
                <c:pt idx="14">
                  <c:v>2.0361990950226172E-2</c:v>
                </c:pt>
                <c:pt idx="15">
                  <c:v>2.488687782805421E-2</c:v>
                </c:pt>
                <c:pt idx="16">
                  <c:v>1.1312217194570096E-2</c:v>
                </c:pt>
                <c:pt idx="17">
                  <c:v>3.1674208144796268E-2</c:v>
                </c:pt>
                <c:pt idx="18">
                  <c:v>1.1312217194570096E-2</c:v>
                </c:pt>
                <c:pt idx="19">
                  <c:v>1.8099547511312264E-2</c:v>
                </c:pt>
                <c:pt idx="20">
                  <c:v>2.2624434389140191E-3</c:v>
                </c:pt>
                <c:pt idx="21">
                  <c:v>6.7873303167420573E-3</c:v>
                </c:pt>
                <c:pt idx="22">
                  <c:v>1.3574660633484115E-2</c:v>
                </c:pt>
                <c:pt idx="23">
                  <c:v>1.3574660633484115E-2</c:v>
                </c:pt>
                <c:pt idx="24">
                  <c:v>0</c:v>
                </c:pt>
              </c:numCache>
            </c:numRef>
          </c:val>
          <c:smooth val="0"/>
        </c:ser>
        <c:ser>
          <c:idx val="2"/>
          <c:order val="2"/>
          <c:tx>
            <c:strRef>
              <c:f>'Time to refill'!$L$4</c:f>
              <c:strCache>
                <c:ptCount val="1"/>
                <c:pt idx="0">
                  <c:v>&gt;=15yrs</c:v>
                </c:pt>
              </c:strCache>
            </c:strRef>
          </c:tx>
          <c:spPr>
            <a:ln>
              <a:solidFill>
                <a:srgbClr val="C00000"/>
              </a:solidFill>
            </a:ln>
          </c:spPr>
          <c:marker>
            <c:symbol val="none"/>
          </c:marker>
          <c:cat>
            <c:strRef>
              <c:f>'Time to refill'!$I$5:$I$29</c:f>
              <c:strCache>
                <c:ptCount val="25"/>
                <c:pt idx="0">
                  <c:v>0-6</c:v>
                </c:pt>
                <c:pt idx="1">
                  <c:v>7-13</c:v>
                </c:pt>
                <c:pt idx="2">
                  <c:v>14-20</c:v>
                </c:pt>
                <c:pt idx="3">
                  <c:v>21-27</c:v>
                </c:pt>
                <c:pt idx="4">
                  <c:v>28-34</c:v>
                </c:pt>
                <c:pt idx="5">
                  <c:v>35-41</c:v>
                </c:pt>
                <c:pt idx="6">
                  <c:v>42-48</c:v>
                </c:pt>
                <c:pt idx="7">
                  <c:v>49-55</c:v>
                </c:pt>
                <c:pt idx="8">
                  <c:v>56-62</c:v>
                </c:pt>
                <c:pt idx="9">
                  <c:v>63-69</c:v>
                </c:pt>
                <c:pt idx="10">
                  <c:v>70-76</c:v>
                </c:pt>
                <c:pt idx="11">
                  <c:v>77-83</c:v>
                </c:pt>
                <c:pt idx="12">
                  <c:v>84-90</c:v>
                </c:pt>
                <c:pt idx="13">
                  <c:v>91-97</c:v>
                </c:pt>
                <c:pt idx="14">
                  <c:v>98-104</c:v>
                </c:pt>
                <c:pt idx="15">
                  <c:v>105-111</c:v>
                </c:pt>
                <c:pt idx="16">
                  <c:v>112-118</c:v>
                </c:pt>
                <c:pt idx="17">
                  <c:v>119-125</c:v>
                </c:pt>
                <c:pt idx="18">
                  <c:v>126-132</c:v>
                </c:pt>
                <c:pt idx="19">
                  <c:v>133-139</c:v>
                </c:pt>
                <c:pt idx="20">
                  <c:v>140-146</c:v>
                </c:pt>
                <c:pt idx="21">
                  <c:v>147-153</c:v>
                </c:pt>
                <c:pt idx="22">
                  <c:v>154-160</c:v>
                </c:pt>
                <c:pt idx="23">
                  <c:v>161-167</c:v>
                </c:pt>
                <c:pt idx="24">
                  <c:v>168-174</c:v>
                </c:pt>
              </c:strCache>
            </c:strRef>
          </c:cat>
          <c:val>
            <c:numRef>
              <c:f>'Time to refill'!$L$5:$L$29</c:f>
              <c:numCache>
                <c:formatCode>0%</c:formatCode>
                <c:ptCount val="25"/>
                <c:pt idx="0">
                  <c:v>9.8263447691655459E-2</c:v>
                </c:pt>
                <c:pt idx="1">
                  <c:v>1.3977128335450992E-2</c:v>
                </c:pt>
                <c:pt idx="2">
                  <c:v>2.4565861922913865E-2</c:v>
                </c:pt>
                <c:pt idx="3">
                  <c:v>5.3790766624311398E-2</c:v>
                </c:pt>
                <c:pt idx="4">
                  <c:v>7.5815332486234177E-2</c:v>
                </c:pt>
                <c:pt idx="5">
                  <c:v>5.9720457433290575E-2</c:v>
                </c:pt>
                <c:pt idx="6">
                  <c:v>4.7861075815332221E-2</c:v>
                </c:pt>
                <c:pt idx="7">
                  <c:v>5.7602710715797922E-2</c:v>
                </c:pt>
                <c:pt idx="8">
                  <c:v>6.9038542990258078E-2</c:v>
                </c:pt>
                <c:pt idx="9">
                  <c:v>5.6755612028801083E-2</c:v>
                </c:pt>
                <c:pt idx="10">
                  <c:v>4.9978822532824707E-2</c:v>
                </c:pt>
                <c:pt idx="11">
                  <c:v>4.3202033036848553E-2</c:v>
                </c:pt>
                <c:pt idx="12">
                  <c:v>3.8966539601863359E-2</c:v>
                </c:pt>
                <c:pt idx="13">
                  <c:v>2.9224904701397714E-2</c:v>
                </c:pt>
                <c:pt idx="14">
                  <c:v>2.4565861922913768E-2</c:v>
                </c:pt>
                <c:pt idx="15">
                  <c:v>2.2024565861922807E-2</c:v>
                </c:pt>
                <c:pt idx="16">
                  <c:v>2.0753917831426993E-2</c:v>
                </c:pt>
                <c:pt idx="17">
                  <c:v>1.5671325709445072E-2</c:v>
                </c:pt>
                <c:pt idx="18">
                  <c:v>1.1012282930961348E-2</c:v>
                </c:pt>
                <c:pt idx="19">
                  <c:v>1.7789072426937502E-2</c:v>
                </c:pt>
                <c:pt idx="20">
                  <c:v>1.5247776365946542E-2</c:v>
                </c:pt>
                <c:pt idx="21">
                  <c:v>1.1012282930961459E-2</c:v>
                </c:pt>
                <c:pt idx="22">
                  <c:v>1.0165184243964398E-2</c:v>
                </c:pt>
                <c:pt idx="23">
                  <c:v>9.3180855569673371E-3</c:v>
                </c:pt>
                <c:pt idx="24">
                  <c:v>1.101228293096157E-2</c:v>
                </c:pt>
              </c:numCache>
            </c:numRef>
          </c:val>
          <c:smooth val="0"/>
        </c:ser>
        <c:dLbls>
          <c:showLegendKey val="0"/>
          <c:showVal val="0"/>
          <c:showCatName val="0"/>
          <c:showSerName val="0"/>
          <c:showPercent val="0"/>
          <c:showBubbleSize val="0"/>
        </c:dLbls>
        <c:marker val="1"/>
        <c:smooth val="0"/>
        <c:axId val="169476480"/>
        <c:axId val="169478400"/>
      </c:lineChart>
      <c:catAx>
        <c:axId val="169476480"/>
        <c:scaling>
          <c:orientation val="minMax"/>
        </c:scaling>
        <c:delete val="0"/>
        <c:axPos val="b"/>
        <c:title>
          <c:tx>
            <c:rich>
              <a:bodyPr/>
              <a:lstStyle/>
              <a:p>
                <a:pPr>
                  <a:defRPr/>
                </a:pPr>
                <a:r>
                  <a:rPr lang="en-AU" b="0"/>
                  <a:t>Days</a:t>
                </a:r>
                <a:r>
                  <a:rPr lang="en-AU" b="0" baseline="0"/>
                  <a:t> to next dispensing</a:t>
                </a:r>
                <a:endParaRPr lang="en-AU" b="0"/>
              </a:p>
            </c:rich>
          </c:tx>
          <c:layout/>
          <c:overlay val="0"/>
        </c:title>
        <c:majorTickMark val="out"/>
        <c:minorTickMark val="none"/>
        <c:tickLblPos val="nextTo"/>
        <c:crossAx val="169478400"/>
        <c:crosses val="autoZero"/>
        <c:auto val="1"/>
        <c:lblAlgn val="ctr"/>
        <c:lblOffset val="100"/>
        <c:noMultiLvlLbl val="0"/>
      </c:catAx>
      <c:valAx>
        <c:axId val="169478400"/>
        <c:scaling>
          <c:orientation val="minMax"/>
        </c:scaling>
        <c:delete val="0"/>
        <c:axPos val="l"/>
        <c:majorGridlines/>
        <c:title>
          <c:tx>
            <c:rich>
              <a:bodyPr rot="-5400000" vert="horz"/>
              <a:lstStyle/>
              <a:p>
                <a:pPr>
                  <a:defRPr/>
                </a:pPr>
                <a:r>
                  <a:rPr lang="en-AU" b="0"/>
                  <a:t>Percentage</a:t>
                </a:r>
                <a:r>
                  <a:rPr lang="en-AU" b="0" baseline="0"/>
                  <a:t> of dispensings</a:t>
                </a:r>
                <a:endParaRPr lang="en-AU" b="0"/>
              </a:p>
            </c:rich>
          </c:tx>
          <c:layout/>
          <c:overlay val="0"/>
        </c:title>
        <c:numFmt formatCode="0%" sourceLinked="1"/>
        <c:majorTickMark val="out"/>
        <c:minorTickMark val="none"/>
        <c:tickLblPos val="nextTo"/>
        <c:crossAx val="169476480"/>
        <c:crosses val="autoZero"/>
        <c:crossBetween val="midCat"/>
      </c:valAx>
    </c:plotArea>
    <c:legend>
      <c:legendPos val="t"/>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[DUSC - ATC1 to 5,  item and script type by QOS - most recent 5 years - DDDs.xlsm]ATC 5 pivot!PivotTable1</c:name>
    <c:fmtId val="-1"/>
  </c:pivotSource>
  <c:chart>
    <c:autoTitleDeleted val="1"/>
    <c:pivotFmts>
      <c:pivotFmt>
        <c:idx val="0"/>
      </c:pivotFmt>
      <c:pivotFmt>
        <c:idx val="1"/>
      </c:pivotFmt>
      <c:pivotFmt>
        <c:idx val="2"/>
      </c:pivotFmt>
      <c:pivotFmt>
        <c:idx val="3"/>
      </c:pivotFmt>
      <c:pivotFmt>
        <c:idx val="4"/>
      </c:pivotFmt>
      <c:pivotFmt>
        <c:idx val="5"/>
      </c:pivotFmt>
      <c:pivotFmt>
        <c:idx val="6"/>
      </c:pivotFmt>
      <c:pivotFmt>
        <c:idx val="7"/>
      </c:pivotFmt>
      <c:pivotFmt>
        <c:idx val="8"/>
        <c:spPr>
          <a:ln>
            <a:solidFill>
              <a:schemeClr val="accent5">
                <a:lumMod val="75000"/>
              </a:schemeClr>
            </a:solidFill>
          </a:ln>
        </c:spPr>
        <c:marker>
          <c:spPr>
            <a:solidFill>
              <a:schemeClr val="accent5">
                <a:lumMod val="75000"/>
              </a:schemeClr>
            </a:solidFill>
            <a:ln>
              <a:solidFill>
                <a:schemeClr val="accent5">
                  <a:lumMod val="75000"/>
                </a:schemeClr>
              </a:solidFill>
            </a:ln>
          </c:spPr>
        </c:marker>
      </c:pivotFmt>
      <c:pivotFmt>
        <c:idx val="9"/>
        <c:spPr>
          <a:ln>
            <a:solidFill>
              <a:schemeClr val="accent4">
                <a:lumMod val="75000"/>
              </a:schemeClr>
            </a:solidFill>
          </a:ln>
        </c:spPr>
        <c:marker>
          <c:spPr>
            <a:solidFill>
              <a:schemeClr val="accent4">
                <a:lumMod val="75000"/>
              </a:schemeClr>
            </a:solidFill>
            <a:ln>
              <a:solidFill>
                <a:schemeClr val="accent4">
                  <a:lumMod val="75000"/>
                </a:schemeClr>
              </a:solidFill>
            </a:ln>
          </c:spPr>
        </c:marker>
      </c:pivotFmt>
      <c:pivotFmt>
        <c:idx val="10"/>
        <c:spPr>
          <a:ln>
            <a:solidFill>
              <a:schemeClr val="accent5">
                <a:lumMod val="75000"/>
              </a:schemeClr>
            </a:solidFill>
          </a:ln>
        </c:spPr>
        <c:marker>
          <c:spPr>
            <a:solidFill>
              <a:schemeClr val="accent5">
                <a:lumMod val="75000"/>
              </a:schemeClr>
            </a:solidFill>
            <a:ln>
              <a:solidFill>
                <a:schemeClr val="accent5">
                  <a:lumMod val="75000"/>
                </a:schemeClr>
              </a:solidFill>
            </a:ln>
          </c:spPr>
        </c:marker>
      </c:pivotFmt>
      <c:pivotFmt>
        <c:idx val="11"/>
        <c:spPr>
          <a:ln>
            <a:solidFill>
              <a:schemeClr val="accent4">
                <a:lumMod val="75000"/>
              </a:schemeClr>
            </a:solidFill>
          </a:ln>
        </c:spPr>
        <c:marker>
          <c:spPr>
            <a:solidFill>
              <a:schemeClr val="accent4">
                <a:lumMod val="75000"/>
              </a:schemeClr>
            </a:solidFill>
            <a:ln>
              <a:solidFill>
                <a:schemeClr val="accent4">
                  <a:lumMod val="75000"/>
                </a:schemeClr>
              </a:solidFill>
            </a:ln>
          </c:spPr>
        </c:marker>
      </c:pivotFmt>
    </c:pivotFmts>
    <c:plotArea>
      <c:layout/>
      <c:lineChart>
        <c:grouping val="standard"/>
        <c:varyColors val="0"/>
        <c:ser>
          <c:idx val="0"/>
          <c:order val="0"/>
          <c:tx>
            <c:strRef>
              <c:f>'ATC 5 pivot'!$B$7:$B$8</c:f>
              <c:strCache>
                <c:ptCount val="1"/>
                <c:pt idx="0">
                  <c:v>Prescriptions</c:v>
                </c:pt>
              </c:strCache>
            </c:strRef>
          </c:tx>
          <c:spPr>
            <a:ln>
              <a:solidFill>
                <a:schemeClr val="accent5">
                  <a:lumMod val="75000"/>
                </a:schemeClr>
              </a:solidFill>
            </a:ln>
          </c:spPr>
          <c:marker>
            <c:spPr>
              <a:solidFill>
                <a:schemeClr val="accent5">
                  <a:lumMod val="75000"/>
                </a:schemeClr>
              </a:solidFill>
              <a:ln>
                <a:solidFill>
                  <a:schemeClr val="accent5">
                    <a:lumMod val="75000"/>
                  </a:schemeClr>
                </a:solidFill>
              </a:ln>
            </c:spPr>
          </c:marker>
          <c:cat>
            <c:strRef>
              <c:f>'ATC 5 pivot'!$A$9:$A$30</c:f>
              <c:strCache>
                <c:ptCount val="21"/>
                <c:pt idx="0">
                  <c:v>2009 Q1</c:v>
                </c:pt>
                <c:pt idx="1">
                  <c:v>2009 Q2</c:v>
                </c:pt>
                <c:pt idx="2">
                  <c:v>2009 Q3</c:v>
                </c:pt>
                <c:pt idx="3">
                  <c:v>2009 Q4</c:v>
                </c:pt>
                <c:pt idx="4">
                  <c:v>2010 Q1</c:v>
                </c:pt>
                <c:pt idx="5">
                  <c:v>2010 Q2</c:v>
                </c:pt>
                <c:pt idx="6">
                  <c:v>2010 Q3</c:v>
                </c:pt>
                <c:pt idx="7">
                  <c:v>2010 Q4</c:v>
                </c:pt>
                <c:pt idx="8">
                  <c:v>2011 Q1</c:v>
                </c:pt>
                <c:pt idx="9">
                  <c:v>2011 Q2</c:v>
                </c:pt>
                <c:pt idx="10">
                  <c:v>2011 Q3</c:v>
                </c:pt>
                <c:pt idx="11">
                  <c:v>2011 Q4</c:v>
                </c:pt>
                <c:pt idx="12">
                  <c:v>2012 Q1</c:v>
                </c:pt>
                <c:pt idx="13">
                  <c:v>2012 Q2</c:v>
                </c:pt>
                <c:pt idx="14">
                  <c:v>2012 Q3</c:v>
                </c:pt>
                <c:pt idx="15">
                  <c:v>2012 Q4</c:v>
                </c:pt>
                <c:pt idx="16">
                  <c:v>2013 Q1</c:v>
                </c:pt>
                <c:pt idx="17">
                  <c:v>2013 Q2</c:v>
                </c:pt>
                <c:pt idx="18">
                  <c:v>2013 Q3</c:v>
                </c:pt>
                <c:pt idx="19">
                  <c:v>2013 Q4</c:v>
                </c:pt>
                <c:pt idx="20">
                  <c:v>2014 Q1</c:v>
                </c:pt>
              </c:strCache>
            </c:strRef>
          </c:cat>
          <c:val>
            <c:numRef>
              <c:f>'ATC 5 pivot'!$B$9:$B$30</c:f>
              <c:numCache>
                <c:formatCode>General</c:formatCode>
                <c:ptCount val="21"/>
                <c:pt idx="0">
                  <c:v>802</c:v>
                </c:pt>
                <c:pt idx="1">
                  <c:v>951</c:v>
                </c:pt>
                <c:pt idx="2">
                  <c:v>957</c:v>
                </c:pt>
                <c:pt idx="3">
                  <c:v>1015</c:v>
                </c:pt>
                <c:pt idx="4">
                  <c:v>824</c:v>
                </c:pt>
                <c:pt idx="5">
                  <c:v>969</c:v>
                </c:pt>
                <c:pt idx="6">
                  <c:v>1071</c:v>
                </c:pt>
                <c:pt idx="7">
                  <c:v>1031</c:v>
                </c:pt>
                <c:pt idx="8">
                  <c:v>964</c:v>
                </c:pt>
                <c:pt idx="9">
                  <c:v>934</c:v>
                </c:pt>
                <c:pt idx="10">
                  <c:v>1070</c:v>
                </c:pt>
                <c:pt idx="11">
                  <c:v>1086</c:v>
                </c:pt>
                <c:pt idx="12">
                  <c:v>873</c:v>
                </c:pt>
                <c:pt idx="13">
                  <c:v>856</c:v>
                </c:pt>
                <c:pt idx="14">
                  <c:v>936</c:v>
                </c:pt>
                <c:pt idx="15">
                  <c:v>890</c:v>
                </c:pt>
                <c:pt idx="16">
                  <c:v>757</c:v>
                </c:pt>
                <c:pt idx="17">
                  <c:v>740</c:v>
                </c:pt>
                <c:pt idx="18">
                  <c:v>750</c:v>
                </c:pt>
                <c:pt idx="19">
                  <c:v>816</c:v>
                </c:pt>
                <c:pt idx="20">
                  <c:v>621</c:v>
                </c:pt>
              </c:numCache>
            </c:numRef>
          </c:val>
          <c:smooth val="0"/>
        </c:ser>
        <c:dLbls>
          <c:showLegendKey val="0"/>
          <c:showVal val="0"/>
          <c:showCatName val="0"/>
          <c:showSerName val="0"/>
          <c:showPercent val="0"/>
          <c:showBubbleSize val="0"/>
        </c:dLbls>
        <c:marker val="1"/>
        <c:smooth val="0"/>
        <c:axId val="169783296"/>
        <c:axId val="169785600"/>
      </c:lineChart>
      <c:lineChart>
        <c:grouping val="standard"/>
        <c:varyColors val="0"/>
        <c:ser>
          <c:idx val="1"/>
          <c:order val="1"/>
          <c:tx>
            <c:strRef>
              <c:f>'ATC 5 pivot'!$C$7:$C$8</c:f>
              <c:strCache>
                <c:ptCount val="1"/>
                <c:pt idx="0">
                  <c:v>DDDs/1000 pop/day</c:v>
                </c:pt>
              </c:strCache>
            </c:strRef>
          </c:tx>
          <c:spPr>
            <a:ln>
              <a:solidFill>
                <a:schemeClr val="accent4">
                  <a:lumMod val="75000"/>
                </a:schemeClr>
              </a:solidFill>
            </a:ln>
          </c:spPr>
          <c:marker>
            <c:spPr>
              <a:solidFill>
                <a:schemeClr val="accent4">
                  <a:lumMod val="75000"/>
                </a:schemeClr>
              </a:solidFill>
              <a:ln>
                <a:solidFill>
                  <a:schemeClr val="accent4">
                    <a:lumMod val="75000"/>
                  </a:schemeClr>
                </a:solidFill>
              </a:ln>
            </c:spPr>
          </c:marker>
          <c:cat>
            <c:strRef>
              <c:f>'ATC 5 pivot'!$A$9:$A$30</c:f>
              <c:strCache>
                <c:ptCount val="21"/>
                <c:pt idx="0">
                  <c:v>2009 Q1</c:v>
                </c:pt>
                <c:pt idx="1">
                  <c:v>2009 Q2</c:v>
                </c:pt>
                <c:pt idx="2">
                  <c:v>2009 Q3</c:v>
                </c:pt>
                <c:pt idx="3">
                  <c:v>2009 Q4</c:v>
                </c:pt>
                <c:pt idx="4">
                  <c:v>2010 Q1</c:v>
                </c:pt>
                <c:pt idx="5">
                  <c:v>2010 Q2</c:v>
                </c:pt>
                <c:pt idx="6">
                  <c:v>2010 Q3</c:v>
                </c:pt>
                <c:pt idx="7">
                  <c:v>2010 Q4</c:v>
                </c:pt>
                <c:pt idx="8">
                  <c:v>2011 Q1</c:v>
                </c:pt>
                <c:pt idx="9">
                  <c:v>2011 Q2</c:v>
                </c:pt>
                <c:pt idx="10">
                  <c:v>2011 Q3</c:v>
                </c:pt>
                <c:pt idx="11">
                  <c:v>2011 Q4</c:v>
                </c:pt>
                <c:pt idx="12">
                  <c:v>2012 Q1</c:v>
                </c:pt>
                <c:pt idx="13">
                  <c:v>2012 Q2</c:v>
                </c:pt>
                <c:pt idx="14">
                  <c:v>2012 Q3</c:v>
                </c:pt>
                <c:pt idx="15">
                  <c:v>2012 Q4</c:v>
                </c:pt>
                <c:pt idx="16">
                  <c:v>2013 Q1</c:v>
                </c:pt>
                <c:pt idx="17">
                  <c:v>2013 Q2</c:v>
                </c:pt>
                <c:pt idx="18">
                  <c:v>2013 Q3</c:v>
                </c:pt>
                <c:pt idx="19">
                  <c:v>2013 Q4</c:v>
                </c:pt>
                <c:pt idx="20">
                  <c:v>2014 Q1</c:v>
                </c:pt>
              </c:strCache>
            </c:strRef>
          </c:cat>
          <c:val>
            <c:numRef>
              <c:f>'ATC 5 pivot'!$C$9:$C$30</c:f>
              <c:numCache>
                <c:formatCode>General</c:formatCode>
                <c:ptCount val="21"/>
                <c:pt idx="0">
                  <c:v>2.1487146138718387E-3</c:v>
                </c:pt>
                <c:pt idx="1">
                  <c:v>2.9607092889917955E-3</c:v>
                </c:pt>
                <c:pt idx="2">
                  <c:v>3.0475464397403829E-3</c:v>
                </c:pt>
                <c:pt idx="3">
                  <c:v>3.2514286260425167E-3</c:v>
                </c:pt>
                <c:pt idx="4">
                  <c:v>2.8105374577887645E-3</c:v>
                </c:pt>
                <c:pt idx="5">
                  <c:v>3.1485475632501811E-3</c:v>
                </c:pt>
                <c:pt idx="6">
                  <c:v>3.4027593300659429E-3</c:v>
                </c:pt>
                <c:pt idx="7">
                  <c:v>3.3612122546029704E-3</c:v>
                </c:pt>
                <c:pt idx="8">
                  <c:v>3.126792180973466E-3</c:v>
                </c:pt>
                <c:pt idx="9">
                  <c:v>3.2310853106428472E-3</c:v>
                </c:pt>
                <c:pt idx="10">
                  <c:v>3.765419088972541E-3</c:v>
                </c:pt>
                <c:pt idx="11">
                  <c:v>3.5842848402635446E-3</c:v>
                </c:pt>
                <c:pt idx="12">
                  <c:v>2.6032423539825867E-3</c:v>
                </c:pt>
                <c:pt idx="13">
                  <c:v>2.439706364081059E-3</c:v>
                </c:pt>
                <c:pt idx="14">
                  <c:v>2.6174593825742261E-3</c:v>
                </c:pt>
                <c:pt idx="15">
                  <c:v>2.3934407795116654E-3</c:v>
                </c:pt>
                <c:pt idx="16">
                  <c:v>1.9817943491285241E-3</c:v>
                </c:pt>
                <c:pt idx="17">
                  <c:v>1.8913648717603666E-3</c:v>
                </c:pt>
                <c:pt idx="18">
                  <c:v>1.8921934140922699E-3</c:v>
                </c:pt>
                <c:pt idx="19">
                  <c:v>2.3248108745381056E-3</c:v>
                </c:pt>
                <c:pt idx="20">
                  <c:v>1.5094972898773292E-3</c:v>
                </c:pt>
              </c:numCache>
            </c:numRef>
          </c:val>
          <c:smooth val="0"/>
        </c:ser>
        <c:dLbls>
          <c:showLegendKey val="0"/>
          <c:showVal val="0"/>
          <c:showCatName val="0"/>
          <c:showSerName val="0"/>
          <c:showPercent val="0"/>
          <c:showBubbleSize val="0"/>
        </c:dLbls>
        <c:marker val="1"/>
        <c:smooth val="0"/>
        <c:axId val="169797888"/>
        <c:axId val="169795968"/>
      </c:lineChart>
      <c:catAx>
        <c:axId val="169783296"/>
        <c:scaling>
          <c:orientation val="minMax"/>
        </c:scaling>
        <c:delete val="0"/>
        <c:axPos val="b"/>
        <c:title>
          <c:tx>
            <c:rich>
              <a:bodyPr/>
              <a:lstStyle/>
              <a:p>
                <a:pPr>
                  <a:defRPr/>
                </a:pPr>
                <a:r>
                  <a:rPr lang="en-AU" b="0"/>
                  <a:t>Quarter of supply</a:t>
                </a:r>
              </a:p>
            </c:rich>
          </c:tx>
          <c:layout/>
          <c:overlay val="0"/>
        </c:title>
        <c:numFmt formatCode="General" sourceLinked="1"/>
        <c:majorTickMark val="out"/>
        <c:minorTickMark val="none"/>
        <c:tickLblPos val="nextTo"/>
        <c:txPr>
          <a:bodyPr rot="0" vert="horz"/>
          <a:lstStyle/>
          <a:p>
            <a:pPr>
              <a:defRPr/>
            </a:pPr>
            <a:endParaRPr lang="en-US"/>
          </a:p>
        </c:txPr>
        <c:crossAx val="169785600"/>
        <c:crosses val="autoZero"/>
        <c:auto val="0"/>
        <c:lblAlgn val="ctr"/>
        <c:lblOffset val="100"/>
        <c:tickMarkSkip val="1"/>
        <c:noMultiLvlLbl val="0"/>
      </c:catAx>
      <c:valAx>
        <c:axId val="169785600"/>
        <c:scaling>
          <c:orientation val="minMax"/>
        </c:scaling>
        <c:delete val="0"/>
        <c:axPos val="l"/>
        <c:majorGridlines/>
        <c:title>
          <c:tx>
            <c:rich>
              <a:bodyPr rot="-5400000" vert="horz"/>
              <a:lstStyle/>
              <a:p>
                <a:pPr>
                  <a:defRPr/>
                </a:pPr>
                <a:r>
                  <a:rPr lang="en-AU" b="0"/>
                  <a:t>Prescriptions</a:t>
                </a:r>
              </a:p>
            </c:rich>
          </c:tx>
          <c:layout/>
          <c:overlay val="0"/>
        </c:title>
        <c:numFmt formatCode="#,##0" sourceLinked="0"/>
        <c:majorTickMark val="none"/>
        <c:minorTickMark val="none"/>
        <c:tickLblPos val="nextTo"/>
        <c:txPr>
          <a:bodyPr rot="0" vert="horz"/>
          <a:lstStyle/>
          <a:p>
            <a:pPr>
              <a:defRPr/>
            </a:pPr>
            <a:endParaRPr lang="en-US"/>
          </a:p>
        </c:txPr>
        <c:crossAx val="169783296"/>
        <c:crosses val="autoZero"/>
        <c:crossBetween val="midCat"/>
      </c:valAx>
      <c:valAx>
        <c:axId val="169795968"/>
        <c:scaling>
          <c:orientation val="minMax"/>
        </c:scaling>
        <c:delete val="0"/>
        <c:axPos val="r"/>
        <c:title>
          <c:tx>
            <c:rich>
              <a:bodyPr rot="-5400000" vert="horz"/>
              <a:lstStyle/>
              <a:p>
                <a:pPr>
                  <a:defRPr/>
                </a:pPr>
                <a:r>
                  <a:rPr lang="en-AU" b="0"/>
                  <a:t>DDDs/1000</a:t>
                </a:r>
                <a:r>
                  <a:rPr lang="en-AU" b="0" baseline="0"/>
                  <a:t> population/day</a:t>
                </a:r>
                <a:endParaRPr lang="en-AU" b="0"/>
              </a:p>
            </c:rich>
          </c:tx>
          <c:layout/>
          <c:overlay val="0"/>
        </c:title>
        <c:numFmt formatCode="General" sourceLinked="1"/>
        <c:majorTickMark val="out"/>
        <c:minorTickMark val="none"/>
        <c:tickLblPos val="nextTo"/>
        <c:crossAx val="169797888"/>
        <c:crosses val="max"/>
        <c:crossBetween val="between"/>
      </c:valAx>
      <c:catAx>
        <c:axId val="169797888"/>
        <c:scaling>
          <c:orientation val="minMax"/>
        </c:scaling>
        <c:delete val="1"/>
        <c:axPos val="b"/>
        <c:majorTickMark val="out"/>
        <c:minorTickMark val="none"/>
        <c:tickLblPos val="nextTo"/>
        <c:crossAx val="169795968"/>
        <c:crosses val="autoZero"/>
        <c:auto val="1"/>
        <c:lblAlgn val="ctr"/>
        <c:lblOffset val="100"/>
        <c:noMultiLvlLbl val="0"/>
      </c:catAx>
    </c:plotArea>
    <c:legend>
      <c:legendPos val="t"/>
      <c:layout/>
      <c:overlay val="0"/>
    </c:legend>
    <c:plotVisOnly val="1"/>
    <c:dispBlanksAs val="gap"/>
    <c:showDLblsOverMax val="0"/>
  </c:chart>
  <c:externalData r:id="rId1">
    <c:autoUpdate val="0"/>
  </c:externalData>
  <c:userShapes r:id="rId2"/>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drawings/drawing1.xml><?xml version="1.0" encoding="utf-8"?>
<c:userShapes xmlns:c="http://schemas.openxmlformats.org/drawingml/2006/chart">
  <cdr:relSizeAnchor xmlns:cdr="http://schemas.openxmlformats.org/drawingml/2006/chartDrawing">
    <cdr:from>
      <cdr:x>0.52139</cdr:x>
      <cdr:y>0.13281</cdr:y>
    </cdr:from>
    <cdr:to>
      <cdr:x>0.52139</cdr:x>
      <cdr:y>0.7829</cdr:y>
    </cdr:to>
    <cdr:cxnSp macro="">
      <cdr:nvCxnSpPr>
        <cdr:cNvPr id="3" name="Straight Connector 2" title="Line indicating TSI listing on the 1st of October 2011"/>
        <cdr:cNvCxnSpPr/>
      </cdr:nvCxnSpPr>
      <cdr:spPr>
        <a:xfrm xmlns:a="http://schemas.openxmlformats.org/drawingml/2006/main" flipH="1" flipV="1">
          <a:off x="2919818" y="454309"/>
          <a:ext cx="0" cy="2223792"/>
        </a:xfrm>
        <a:prstGeom xmlns:a="http://schemas.openxmlformats.org/drawingml/2006/main" prst="line">
          <a:avLst/>
        </a:prstGeom>
        <a:ln xmlns:a="http://schemas.openxmlformats.org/drawingml/2006/main" w="12700">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0.45297</cdr:x>
      <cdr:y>0.55595</cdr:y>
    </cdr:from>
    <cdr:to>
      <cdr:x>0.61122</cdr:x>
      <cdr:y>0.68859</cdr:y>
    </cdr:to>
    <cdr:sp macro="" textlink="">
      <cdr:nvSpPr>
        <cdr:cNvPr id="4" name="TextBox 3"/>
        <cdr:cNvSpPr txBox="1"/>
      </cdr:nvSpPr>
      <cdr:spPr>
        <a:xfrm xmlns:a="http://schemas.openxmlformats.org/drawingml/2006/main">
          <a:off x="2536661" y="1901763"/>
          <a:ext cx="886211" cy="453728"/>
        </a:xfrm>
        <a:prstGeom xmlns:a="http://schemas.openxmlformats.org/drawingml/2006/main" prst="roundRect">
          <a:avLst/>
        </a:prstGeom>
        <a:ln xmlns:a="http://schemas.openxmlformats.org/drawingml/2006/main" w="12700"/>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wrap="none" rtlCol="0" anchor="ctr"/>
        <a:lstStyle xmlns:a="http://schemas.openxmlformats.org/drawingml/2006/main"/>
        <a:p xmlns:a="http://schemas.openxmlformats.org/drawingml/2006/main">
          <a:pPr algn="ctr"/>
          <a:r>
            <a:rPr lang="en-AU" sz="900"/>
            <a:t>TSI listing</a:t>
          </a:r>
        </a:p>
        <a:p xmlns:a="http://schemas.openxmlformats.org/drawingml/2006/main">
          <a:pPr algn="ctr"/>
          <a:r>
            <a:rPr lang="en-AU" sz="900"/>
            <a:t>1 October 2011</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C3A44D-7C3D-4B41-841C-4FCB9DE46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3390</Words>
  <Characters>19327</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2015-03-03T03:01:00Z</dcterms:created>
  <dcterms:modified xsi:type="dcterms:W3CDTF">2015-03-05T04:41:00Z</dcterms:modified>
</cp:coreProperties>
</file>