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0A0713">
        <w:rPr>
          <w:sz w:val="24"/>
          <w:szCs w:val="24"/>
        </w:rPr>
        <w:t>8</w:t>
      </w:r>
      <w:r w:rsidR="008B6E94">
        <w:rPr>
          <w:sz w:val="24"/>
          <w:szCs w:val="24"/>
        </w:rPr>
        <w:t>8</w:t>
      </w:r>
      <w:r w:rsidR="000A0713">
        <w:rPr>
          <w:sz w:val="24"/>
          <w:szCs w:val="24"/>
        </w:rPr>
        <w:t>th</w:t>
      </w:r>
      <w:r w:rsidR="000A0713" w:rsidRPr="005F3EF0">
        <w:rPr>
          <w:sz w:val="24"/>
          <w:szCs w:val="24"/>
        </w:rPr>
        <w:t xml:space="preserve"> </w:t>
      </w:r>
      <w:r w:rsidRPr="005F3EF0">
        <w:rPr>
          <w:sz w:val="24"/>
          <w:szCs w:val="24"/>
        </w:rPr>
        <w:t xml:space="preserve">meeting on </w:t>
      </w:r>
      <w:r w:rsidR="008B6E94">
        <w:rPr>
          <w:sz w:val="24"/>
          <w:szCs w:val="24"/>
        </w:rPr>
        <w:t>29-30 September</w:t>
      </w:r>
      <w:r w:rsidR="00213EAC">
        <w:rPr>
          <w:sz w:val="24"/>
          <w:szCs w:val="24"/>
        </w:rPr>
        <w:t> </w:t>
      </w:r>
      <w:r w:rsidR="000F7CE1">
        <w:rPr>
          <w:sz w:val="24"/>
          <w:szCs w:val="24"/>
        </w:rPr>
        <w:t>201</w:t>
      </w:r>
      <w:r w:rsidR="00CA78D9">
        <w:rPr>
          <w:sz w:val="24"/>
          <w:szCs w:val="24"/>
        </w:rPr>
        <w:t>6</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1071DA" w:rsidP="008B6946">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8B6E94">
        <w:rPr>
          <w:sz w:val="24"/>
          <w:szCs w:val="24"/>
        </w:rPr>
        <w:t xml:space="preserve">noted that </w:t>
      </w:r>
      <w:r w:rsidR="008B6E94" w:rsidRPr="008B6E94">
        <w:rPr>
          <w:sz w:val="24"/>
          <w:szCs w:val="24"/>
        </w:rPr>
        <w:t>34</w:t>
      </w:r>
      <w:r w:rsidRPr="008B6E94">
        <w:rPr>
          <w:sz w:val="24"/>
          <w:szCs w:val="24"/>
        </w:rPr>
        <w:t xml:space="preserve"> major submissions</w:t>
      </w:r>
      <w:r>
        <w:rPr>
          <w:sz w:val="24"/>
          <w:szCs w:val="24"/>
        </w:rPr>
        <w:t xml:space="preserve"> had been received for the </w:t>
      </w:r>
      <w:r w:rsidR="008B6E94">
        <w:rPr>
          <w:sz w:val="24"/>
          <w:szCs w:val="24"/>
        </w:rPr>
        <w:t>November</w:t>
      </w:r>
      <w:r w:rsidR="00213EAC">
        <w:rPr>
          <w:sz w:val="24"/>
          <w:szCs w:val="24"/>
        </w:rPr>
        <w:t> </w:t>
      </w:r>
      <w:r w:rsidR="00CA78D9">
        <w:rPr>
          <w:sz w:val="24"/>
          <w:szCs w:val="24"/>
        </w:rPr>
        <w:t>2016</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8B6E94">
        <w:rPr>
          <w:sz w:val="24"/>
          <w:szCs w:val="24"/>
        </w:rPr>
        <w:t>November</w:t>
      </w:r>
      <w:r w:rsidR="00213EAC">
        <w:rPr>
          <w:sz w:val="24"/>
          <w:szCs w:val="24"/>
        </w:rPr>
        <w:t> </w:t>
      </w:r>
      <w:r w:rsidR="002522B2">
        <w:rPr>
          <w:sz w:val="24"/>
          <w:szCs w:val="24"/>
        </w:rPr>
        <w:t>2016</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website</w:t>
        </w:r>
      </w:hyperlink>
      <w:r w:rsidR="00E013AC">
        <w:rPr>
          <w:sz w:val="24"/>
          <w:szCs w:val="24"/>
        </w:rPr>
        <w:t>.</w:t>
      </w:r>
      <w:r w:rsidR="009C32BA">
        <w:rPr>
          <w:sz w:val="24"/>
          <w:szCs w:val="24"/>
        </w:rPr>
        <w:t xml:space="preserve"> </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p>
    <w:p w:rsidR="00F77C55" w:rsidRDefault="00B0144A" w:rsidP="008B6946">
      <w:pPr>
        <w:rPr>
          <w:sz w:val="24"/>
          <w:szCs w:val="24"/>
        </w:rPr>
      </w:pPr>
      <w:r>
        <w:rPr>
          <w:sz w:val="24"/>
          <w:szCs w:val="24"/>
        </w:rPr>
        <w:t>All reports, Sponsor comments and DUSC consideration of the reports are subsequently provided to the PBAC.</w:t>
      </w:r>
      <w:r w:rsidR="00FA149F">
        <w:rPr>
          <w:sz w:val="24"/>
          <w:szCs w:val="24"/>
        </w:rPr>
        <w:t xml:space="preserve"> </w:t>
      </w:r>
    </w:p>
    <w:p w:rsidR="00FD755C" w:rsidRDefault="00FD755C" w:rsidP="008B6946">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0"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5B0558">
        <w:rPr>
          <w:sz w:val="24"/>
          <w:szCs w:val="24"/>
        </w:rPr>
        <w:t>September</w:t>
      </w:r>
      <w:r w:rsidR="00213EAC">
        <w:rPr>
          <w:sz w:val="24"/>
          <w:szCs w:val="24"/>
        </w:rPr>
        <w:t> </w:t>
      </w:r>
      <w:r w:rsidR="00CA78D9">
        <w:rPr>
          <w:sz w:val="24"/>
          <w:szCs w:val="24"/>
        </w:rPr>
        <w:t>2016</w:t>
      </w:r>
      <w:r w:rsidRPr="00CA347D">
        <w:rPr>
          <w:sz w:val="24"/>
          <w:szCs w:val="24"/>
        </w:rPr>
        <w:t>:</w:t>
      </w:r>
    </w:p>
    <w:p w:rsidR="00101877" w:rsidRDefault="00101877" w:rsidP="008B6946">
      <w:pPr>
        <w:rPr>
          <w:sz w:val="24"/>
          <w:szCs w:val="24"/>
        </w:rPr>
      </w:pPr>
    </w:p>
    <w:p w:rsidR="00CA78D9" w:rsidRDefault="005B0558" w:rsidP="008B6946">
      <w:pPr>
        <w:rPr>
          <w:b/>
          <w:sz w:val="24"/>
          <w:szCs w:val="24"/>
        </w:rPr>
      </w:pPr>
      <w:r>
        <w:rPr>
          <w:b/>
          <w:sz w:val="24"/>
          <w:szCs w:val="24"/>
        </w:rPr>
        <w:t>Antifungals</w:t>
      </w:r>
    </w:p>
    <w:p w:rsidR="00213EAC" w:rsidRPr="00080FDB" w:rsidRDefault="00213EAC" w:rsidP="008B6946">
      <w:pPr>
        <w:rPr>
          <w:sz w:val="24"/>
          <w:szCs w:val="24"/>
        </w:rPr>
      </w:pPr>
    </w:p>
    <w:p w:rsidR="00061BD3" w:rsidRDefault="00080FDB" w:rsidP="00061BD3">
      <w:pPr>
        <w:rPr>
          <w:rFonts w:asciiTheme="minorHAnsi" w:hAnsiTheme="minorHAnsi"/>
          <w:sz w:val="24"/>
          <w:szCs w:val="24"/>
        </w:rPr>
      </w:pPr>
      <w:r w:rsidRPr="00080FDB">
        <w:rPr>
          <w:rFonts w:asciiTheme="minorHAnsi" w:hAnsiTheme="minorHAnsi"/>
          <w:sz w:val="24"/>
          <w:szCs w:val="24"/>
        </w:rPr>
        <w:t>In</w:t>
      </w:r>
      <w:r w:rsidR="00F7563D">
        <w:rPr>
          <w:rFonts w:asciiTheme="minorHAnsi" w:hAnsiTheme="minorHAnsi"/>
          <w:sz w:val="24"/>
          <w:szCs w:val="24"/>
        </w:rPr>
        <w:t xml:space="preserve"> the</w:t>
      </w:r>
      <w:r w:rsidRPr="00080FDB">
        <w:rPr>
          <w:rFonts w:asciiTheme="minorHAnsi" w:hAnsiTheme="minorHAnsi"/>
          <w:sz w:val="24"/>
          <w:szCs w:val="24"/>
        </w:rPr>
        <w:t xml:space="preserve"> 2015-16</w:t>
      </w:r>
      <w:r w:rsidR="00F7563D">
        <w:rPr>
          <w:rFonts w:asciiTheme="minorHAnsi" w:hAnsiTheme="minorHAnsi"/>
          <w:sz w:val="24"/>
          <w:szCs w:val="24"/>
        </w:rPr>
        <w:t xml:space="preserve"> financial </w:t>
      </w:r>
      <w:proofErr w:type="gramStart"/>
      <w:r w:rsidR="00F7563D">
        <w:rPr>
          <w:rFonts w:asciiTheme="minorHAnsi" w:hAnsiTheme="minorHAnsi"/>
          <w:sz w:val="24"/>
          <w:szCs w:val="24"/>
        </w:rPr>
        <w:t>year</w:t>
      </w:r>
      <w:proofErr w:type="gramEnd"/>
      <w:r w:rsidR="00F7563D">
        <w:rPr>
          <w:rFonts w:asciiTheme="minorHAnsi" w:hAnsiTheme="minorHAnsi"/>
          <w:sz w:val="24"/>
          <w:szCs w:val="24"/>
        </w:rPr>
        <w:t>,</w:t>
      </w:r>
      <w:r w:rsidR="00C37A17">
        <w:rPr>
          <w:rFonts w:asciiTheme="minorHAnsi" w:hAnsiTheme="minorHAnsi"/>
          <w:sz w:val="24"/>
          <w:szCs w:val="24"/>
        </w:rPr>
        <w:t xml:space="preserve"> </w:t>
      </w:r>
      <w:r w:rsidRPr="00080FDB">
        <w:rPr>
          <w:rFonts w:asciiTheme="minorHAnsi" w:hAnsiTheme="minorHAnsi"/>
          <w:sz w:val="24"/>
          <w:szCs w:val="24"/>
        </w:rPr>
        <w:t xml:space="preserve">91,874 people received systemic antifungal medicines on the PBS. There were 203,228 prescriptions supplied at cost of $35,564,069. </w:t>
      </w:r>
      <w:r w:rsidR="00F7563D">
        <w:rPr>
          <w:rFonts w:asciiTheme="minorHAnsi" w:hAnsiTheme="minorHAnsi"/>
          <w:sz w:val="24"/>
          <w:szCs w:val="24"/>
        </w:rPr>
        <w:t>T</w:t>
      </w:r>
      <w:r w:rsidRPr="00080FDB">
        <w:rPr>
          <w:rFonts w:asciiTheme="minorHAnsi" w:hAnsiTheme="minorHAnsi"/>
          <w:sz w:val="24"/>
          <w:szCs w:val="24"/>
        </w:rPr>
        <w:t xml:space="preserve">erbinafine and griseofulvin </w:t>
      </w:r>
      <w:r w:rsidR="00F7563D">
        <w:rPr>
          <w:rFonts w:asciiTheme="minorHAnsi" w:hAnsiTheme="minorHAnsi"/>
          <w:sz w:val="24"/>
          <w:szCs w:val="24"/>
        </w:rPr>
        <w:t>we</w:t>
      </w:r>
      <w:r w:rsidRPr="00080FDB">
        <w:rPr>
          <w:rFonts w:asciiTheme="minorHAnsi" w:hAnsiTheme="minorHAnsi"/>
          <w:sz w:val="24"/>
          <w:szCs w:val="24"/>
        </w:rPr>
        <w:t>re the most widely used medicines with over 30,000 people supplied each of the medicines.</w:t>
      </w:r>
      <w:r w:rsidR="00395B29">
        <w:rPr>
          <w:rFonts w:asciiTheme="minorHAnsi" w:hAnsiTheme="minorHAnsi"/>
          <w:sz w:val="24"/>
          <w:szCs w:val="24"/>
        </w:rPr>
        <w:t xml:space="preserve"> </w:t>
      </w:r>
    </w:p>
    <w:p w:rsidR="00061BD3" w:rsidRDefault="00061BD3" w:rsidP="00061BD3">
      <w:pPr>
        <w:rPr>
          <w:rFonts w:asciiTheme="minorHAnsi" w:hAnsiTheme="minorHAnsi"/>
          <w:sz w:val="24"/>
          <w:szCs w:val="24"/>
        </w:rPr>
      </w:pPr>
    </w:p>
    <w:p w:rsidR="008A27C1" w:rsidRDefault="00395B29" w:rsidP="00061BD3">
      <w:pPr>
        <w:rPr>
          <w:rFonts w:asciiTheme="minorHAnsi" w:hAnsiTheme="minorHAnsi"/>
          <w:sz w:val="24"/>
          <w:szCs w:val="24"/>
        </w:rPr>
      </w:pPr>
      <w:r w:rsidRPr="00395B29">
        <w:rPr>
          <w:rFonts w:asciiTheme="minorHAnsi" w:hAnsiTheme="minorHAnsi"/>
          <w:sz w:val="24"/>
          <w:szCs w:val="24"/>
        </w:rPr>
        <w:t>The number of fluconazole, itraconazole and posaconazole prescriptions has increase</w:t>
      </w:r>
      <w:r w:rsidR="008A27C1">
        <w:rPr>
          <w:rFonts w:asciiTheme="minorHAnsi" w:hAnsiTheme="minorHAnsi"/>
          <w:sz w:val="24"/>
          <w:szCs w:val="24"/>
        </w:rPr>
        <w:t>d over time</w:t>
      </w:r>
      <w:r w:rsidRPr="00395B29">
        <w:rPr>
          <w:rFonts w:asciiTheme="minorHAnsi" w:hAnsiTheme="minorHAnsi"/>
          <w:sz w:val="24"/>
          <w:szCs w:val="24"/>
        </w:rPr>
        <w:t>. The number of voriconazole prescriptions decreased after peaking in 2012</w:t>
      </w:r>
      <w:r w:rsidR="008A27C1">
        <w:rPr>
          <w:rFonts w:asciiTheme="minorHAnsi" w:hAnsiTheme="minorHAnsi"/>
          <w:sz w:val="24"/>
          <w:szCs w:val="24"/>
        </w:rPr>
        <w:t xml:space="preserve"> and its use has been lower than expected.</w:t>
      </w:r>
    </w:p>
    <w:p w:rsidR="00395B29" w:rsidRPr="00080FDB" w:rsidRDefault="00395B29" w:rsidP="00080FDB">
      <w:pPr>
        <w:rPr>
          <w:rFonts w:asciiTheme="minorHAnsi" w:hAnsiTheme="minorHAnsi"/>
          <w:sz w:val="24"/>
          <w:szCs w:val="24"/>
        </w:rPr>
      </w:pPr>
    </w:p>
    <w:p w:rsidR="001223D1" w:rsidRDefault="00080FDB" w:rsidP="00FA1200">
      <w:pPr>
        <w:rPr>
          <w:rFonts w:asciiTheme="minorHAnsi" w:hAnsiTheme="minorHAnsi"/>
          <w:sz w:val="24"/>
          <w:szCs w:val="24"/>
        </w:rPr>
      </w:pPr>
      <w:r w:rsidRPr="00080FDB">
        <w:rPr>
          <w:rFonts w:asciiTheme="minorHAnsi" w:hAnsiTheme="minorHAnsi"/>
          <w:sz w:val="24"/>
          <w:szCs w:val="24"/>
        </w:rPr>
        <w:t xml:space="preserve">There </w:t>
      </w:r>
      <w:r w:rsidR="00395B29">
        <w:rPr>
          <w:rFonts w:asciiTheme="minorHAnsi" w:hAnsiTheme="minorHAnsi"/>
          <w:sz w:val="24"/>
          <w:szCs w:val="24"/>
        </w:rPr>
        <w:t>w</w:t>
      </w:r>
      <w:r w:rsidRPr="00080FDB">
        <w:rPr>
          <w:rFonts w:asciiTheme="minorHAnsi" w:hAnsiTheme="minorHAnsi"/>
          <w:sz w:val="24"/>
          <w:szCs w:val="24"/>
        </w:rPr>
        <w:t xml:space="preserve">as a sharp increase in the use of fluconazole </w:t>
      </w:r>
      <w:r w:rsidR="00395B29">
        <w:rPr>
          <w:rFonts w:asciiTheme="minorHAnsi" w:hAnsiTheme="minorHAnsi"/>
          <w:sz w:val="24"/>
          <w:szCs w:val="24"/>
        </w:rPr>
        <w:t xml:space="preserve">from 1 April 2016 coinciding with the </w:t>
      </w:r>
      <w:r w:rsidR="00061BD3">
        <w:rPr>
          <w:rFonts w:asciiTheme="minorHAnsi" w:hAnsiTheme="minorHAnsi"/>
          <w:sz w:val="24"/>
          <w:szCs w:val="24"/>
        </w:rPr>
        <w:t xml:space="preserve">PBS </w:t>
      </w:r>
      <w:r w:rsidR="00395B29">
        <w:rPr>
          <w:rFonts w:asciiTheme="minorHAnsi" w:hAnsiTheme="minorHAnsi"/>
          <w:sz w:val="24"/>
          <w:szCs w:val="24"/>
        </w:rPr>
        <w:t xml:space="preserve">listing changing from </w:t>
      </w:r>
      <w:r w:rsidR="00893956">
        <w:rPr>
          <w:rFonts w:asciiTheme="minorHAnsi" w:hAnsiTheme="minorHAnsi"/>
          <w:sz w:val="24"/>
          <w:szCs w:val="24"/>
        </w:rPr>
        <w:t>A</w:t>
      </w:r>
      <w:r w:rsidR="00395B29">
        <w:rPr>
          <w:rFonts w:asciiTheme="minorHAnsi" w:hAnsiTheme="minorHAnsi"/>
          <w:sz w:val="24"/>
          <w:szCs w:val="24"/>
        </w:rPr>
        <w:t>uthority</w:t>
      </w:r>
      <w:r w:rsidR="00893956">
        <w:rPr>
          <w:rFonts w:asciiTheme="minorHAnsi" w:hAnsiTheme="minorHAnsi"/>
          <w:sz w:val="24"/>
          <w:szCs w:val="24"/>
        </w:rPr>
        <w:t xml:space="preserve"> R</w:t>
      </w:r>
      <w:r w:rsidR="00061BD3">
        <w:rPr>
          <w:rFonts w:asciiTheme="minorHAnsi" w:hAnsiTheme="minorHAnsi"/>
          <w:sz w:val="24"/>
          <w:szCs w:val="24"/>
        </w:rPr>
        <w:t>equired (</w:t>
      </w:r>
      <w:r w:rsidR="00893956">
        <w:rPr>
          <w:rFonts w:asciiTheme="minorHAnsi" w:hAnsiTheme="minorHAnsi"/>
          <w:sz w:val="24"/>
          <w:szCs w:val="24"/>
        </w:rPr>
        <w:t>STREAMLINED</w:t>
      </w:r>
      <w:r w:rsidR="00061BD3">
        <w:rPr>
          <w:rFonts w:asciiTheme="minorHAnsi" w:hAnsiTheme="minorHAnsi"/>
          <w:sz w:val="24"/>
          <w:szCs w:val="24"/>
        </w:rPr>
        <w:t>)</w:t>
      </w:r>
      <w:r w:rsidR="00395B29">
        <w:rPr>
          <w:rFonts w:asciiTheme="minorHAnsi" w:hAnsiTheme="minorHAnsi"/>
          <w:sz w:val="24"/>
          <w:szCs w:val="24"/>
        </w:rPr>
        <w:t xml:space="preserve"> to </w:t>
      </w:r>
      <w:r w:rsidR="00061BD3">
        <w:rPr>
          <w:rFonts w:asciiTheme="minorHAnsi" w:hAnsiTheme="minorHAnsi"/>
          <w:sz w:val="24"/>
          <w:szCs w:val="24"/>
        </w:rPr>
        <w:t xml:space="preserve">a </w:t>
      </w:r>
      <w:r w:rsidR="00893956">
        <w:rPr>
          <w:rFonts w:asciiTheme="minorHAnsi" w:hAnsiTheme="minorHAnsi"/>
          <w:sz w:val="24"/>
          <w:szCs w:val="24"/>
        </w:rPr>
        <w:t>Restricted B</w:t>
      </w:r>
      <w:r w:rsidR="00395B29">
        <w:rPr>
          <w:rFonts w:asciiTheme="minorHAnsi" w:hAnsiTheme="minorHAnsi"/>
          <w:sz w:val="24"/>
          <w:szCs w:val="24"/>
        </w:rPr>
        <w:t>enefit.</w:t>
      </w:r>
      <w:r w:rsidR="00061BD3">
        <w:rPr>
          <w:rFonts w:asciiTheme="minorHAnsi" w:hAnsiTheme="minorHAnsi"/>
          <w:sz w:val="24"/>
          <w:szCs w:val="24"/>
        </w:rPr>
        <w:t xml:space="preserve"> </w:t>
      </w:r>
      <w:r w:rsidRPr="00080FDB">
        <w:rPr>
          <w:rFonts w:asciiTheme="minorHAnsi" w:hAnsiTheme="minorHAnsi"/>
          <w:sz w:val="24"/>
          <w:szCs w:val="24"/>
        </w:rPr>
        <w:t xml:space="preserve">DUSC requested that the use of fluconazole be monitored </w:t>
      </w:r>
      <w:r w:rsidR="00395B29">
        <w:rPr>
          <w:rFonts w:asciiTheme="minorHAnsi" w:hAnsiTheme="minorHAnsi"/>
          <w:sz w:val="24"/>
          <w:szCs w:val="24"/>
        </w:rPr>
        <w:t xml:space="preserve">closely </w:t>
      </w:r>
      <w:r w:rsidRPr="00080FDB">
        <w:rPr>
          <w:rFonts w:asciiTheme="minorHAnsi" w:hAnsiTheme="minorHAnsi"/>
          <w:sz w:val="24"/>
          <w:szCs w:val="24"/>
        </w:rPr>
        <w:t>to see if the increase continues</w:t>
      </w:r>
      <w:r w:rsidR="001223D1">
        <w:rPr>
          <w:rFonts w:asciiTheme="minorHAnsi" w:hAnsiTheme="minorHAnsi"/>
          <w:sz w:val="24"/>
          <w:szCs w:val="24"/>
        </w:rPr>
        <w:t>.</w:t>
      </w:r>
    </w:p>
    <w:p w:rsidR="001223D1" w:rsidRDefault="001223D1" w:rsidP="00FA1200">
      <w:pPr>
        <w:rPr>
          <w:rFonts w:asciiTheme="minorHAnsi" w:hAnsiTheme="minorHAnsi"/>
          <w:sz w:val="24"/>
          <w:szCs w:val="24"/>
        </w:rPr>
      </w:pPr>
    </w:p>
    <w:p w:rsidR="00FA1200" w:rsidRDefault="001223D1" w:rsidP="008B6946">
      <w:pPr>
        <w:rPr>
          <w:b/>
          <w:sz w:val="24"/>
          <w:szCs w:val="24"/>
        </w:rPr>
      </w:pPr>
      <w:r w:rsidRPr="001223D1">
        <w:rPr>
          <w:rFonts w:asciiTheme="minorHAnsi" w:hAnsiTheme="minorHAnsi"/>
          <w:sz w:val="24"/>
          <w:szCs w:val="24"/>
        </w:rPr>
        <w:t>The DUSC requested that the report be provided to the PBAC</w:t>
      </w:r>
      <w:r>
        <w:rPr>
          <w:rFonts w:asciiTheme="minorHAnsi" w:hAnsiTheme="minorHAnsi"/>
          <w:sz w:val="24"/>
          <w:szCs w:val="24"/>
        </w:rPr>
        <w:t>.</w:t>
      </w:r>
      <w:r w:rsidRPr="001223D1">
        <w:rPr>
          <w:rFonts w:asciiTheme="minorHAnsi" w:hAnsiTheme="minorHAnsi"/>
          <w:sz w:val="24"/>
          <w:szCs w:val="24"/>
        </w:rPr>
        <w:t xml:space="preserve"> </w:t>
      </w:r>
    </w:p>
    <w:p w:rsidR="00FB02FC" w:rsidRDefault="00FB02FC">
      <w:pPr>
        <w:rPr>
          <w:b/>
          <w:sz w:val="24"/>
          <w:szCs w:val="24"/>
        </w:rPr>
      </w:pPr>
      <w:r>
        <w:rPr>
          <w:b/>
          <w:sz w:val="24"/>
          <w:szCs w:val="24"/>
        </w:rPr>
        <w:br w:type="page"/>
      </w:r>
    </w:p>
    <w:p w:rsidR="00CA78D9" w:rsidRDefault="005B0558" w:rsidP="008B6946">
      <w:pPr>
        <w:rPr>
          <w:b/>
          <w:sz w:val="24"/>
          <w:szCs w:val="24"/>
        </w:rPr>
      </w:pPr>
      <w:r w:rsidRPr="00E42DD2">
        <w:rPr>
          <w:b/>
          <w:sz w:val="24"/>
          <w:szCs w:val="24"/>
        </w:rPr>
        <w:lastRenderedPageBreak/>
        <w:t>Antipsychotics including a 24 month predicted versus a</w:t>
      </w:r>
      <w:r w:rsidR="00893956">
        <w:rPr>
          <w:b/>
          <w:sz w:val="24"/>
          <w:szCs w:val="24"/>
        </w:rPr>
        <w:t>ctual analysis of quetiapine 25 </w:t>
      </w:r>
      <w:r w:rsidRPr="00E42DD2">
        <w:rPr>
          <w:b/>
          <w:sz w:val="24"/>
          <w:szCs w:val="24"/>
        </w:rPr>
        <w:t>mg</w:t>
      </w:r>
    </w:p>
    <w:p w:rsidR="00FA1200" w:rsidRDefault="00FA1200" w:rsidP="00FA1200">
      <w:pPr>
        <w:rPr>
          <w:sz w:val="24"/>
          <w:szCs w:val="24"/>
        </w:rPr>
      </w:pPr>
    </w:p>
    <w:p w:rsidR="006878A3" w:rsidRDefault="005414F3" w:rsidP="006878A3">
      <w:pPr>
        <w:rPr>
          <w:sz w:val="24"/>
          <w:szCs w:val="24"/>
        </w:rPr>
      </w:pPr>
      <w:r>
        <w:rPr>
          <w:sz w:val="24"/>
          <w:szCs w:val="24"/>
        </w:rPr>
        <w:t>P</w:t>
      </w:r>
      <w:r w:rsidR="00DE49A5">
        <w:rPr>
          <w:sz w:val="24"/>
          <w:szCs w:val="24"/>
        </w:rPr>
        <w:t>revious report</w:t>
      </w:r>
      <w:r>
        <w:rPr>
          <w:sz w:val="24"/>
          <w:szCs w:val="24"/>
        </w:rPr>
        <w:t>s</w:t>
      </w:r>
      <w:r w:rsidR="000F5C42" w:rsidRPr="000F5C42">
        <w:rPr>
          <w:rStyle w:val="FootnoteReference"/>
          <w:sz w:val="24"/>
          <w:szCs w:val="24"/>
          <w:vertAlign w:val="superscript"/>
        </w:rPr>
        <w:footnoteReference w:id="1"/>
      </w:r>
      <w:r w:rsidR="00DE49A5">
        <w:rPr>
          <w:sz w:val="24"/>
          <w:szCs w:val="24"/>
        </w:rPr>
        <w:t xml:space="preserve"> </w:t>
      </w:r>
      <w:r w:rsidR="008232E9">
        <w:rPr>
          <w:sz w:val="24"/>
          <w:szCs w:val="24"/>
        </w:rPr>
        <w:t>from</w:t>
      </w:r>
      <w:r w:rsidR="00DE49A5">
        <w:rPr>
          <w:sz w:val="24"/>
          <w:szCs w:val="24"/>
        </w:rPr>
        <w:t xml:space="preserve"> DUSC </w:t>
      </w:r>
      <w:r>
        <w:rPr>
          <w:sz w:val="24"/>
          <w:szCs w:val="24"/>
        </w:rPr>
        <w:t xml:space="preserve">raised concern about </w:t>
      </w:r>
      <w:r w:rsidR="006878A3" w:rsidRPr="006878A3">
        <w:rPr>
          <w:sz w:val="24"/>
          <w:szCs w:val="24"/>
        </w:rPr>
        <w:t>the utilisation of PBS listed antipsychotics</w:t>
      </w:r>
      <w:r w:rsidR="002E7CA2">
        <w:rPr>
          <w:sz w:val="24"/>
          <w:szCs w:val="24"/>
        </w:rPr>
        <w:t xml:space="preserve"> for </w:t>
      </w:r>
      <w:r w:rsidR="006878A3" w:rsidRPr="006878A3">
        <w:rPr>
          <w:sz w:val="24"/>
          <w:szCs w:val="24"/>
        </w:rPr>
        <w:t>non</w:t>
      </w:r>
      <w:r w:rsidR="002E7CA2">
        <w:rPr>
          <w:sz w:val="24"/>
          <w:szCs w:val="24"/>
        </w:rPr>
        <w:noBreakHyphen/>
      </w:r>
      <w:r w:rsidR="006878A3" w:rsidRPr="006878A3">
        <w:rPr>
          <w:sz w:val="24"/>
          <w:szCs w:val="24"/>
        </w:rPr>
        <w:t>subsidised and off-label indications such as sedation</w:t>
      </w:r>
      <w:r w:rsidR="008232E9">
        <w:rPr>
          <w:sz w:val="24"/>
          <w:szCs w:val="24"/>
        </w:rPr>
        <w:t xml:space="preserve">. </w:t>
      </w:r>
      <w:r w:rsidR="00554F6F">
        <w:rPr>
          <w:sz w:val="24"/>
          <w:szCs w:val="24"/>
        </w:rPr>
        <w:t>T</w:t>
      </w:r>
      <w:r w:rsidR="002E7CA2">
        <w:rPr>
          <w:sz w:val="24"/>
          <w:szCs w:val="24"/>
        </w:rPr>
        <w:t>rend</w:t>
      </w:r>
      <w:r w:rsidR="00554F6F">
        <w:rPr>
          <w:sz w:val="24"/>
          <w:szCs w:val="24"/>
        </w:rPr>
        <w:t>s</w:t>
      </w:r>
      <w:r w:rsidR="006878A3" w:rsidRPr="006878A3">
        <w:rPr>
          <w:sz w:val="24"/>
          <w:szCs w:val="24"/>
        </w:rPr>
        <w:t xml:space="preserve"> </w:t>
      </w:r>
      <w:r w:rsidR="00F31CBF">
        <w:rPr>
          <w:sz w:val="24"/>
          <w:szCs w:val="24"/>
        </w:rPr>
        <w:t xml:space="preserve">of inappropriate prescribing </w:t>
      </w:r>
      <w:r w:rsidR="00554F6F">
        <w:rPr>
          <w:sz w:val="24"/>
          <w:szCs w:val="24"/>
        </w:rPr>
        <w:t>were</w:t>
      </w:r>
      <w:r w:rsidR="006878A3" w:rsidRPr="006878A3">
        <w:rPr>
          <w:sz w:val="24"/>
          <w:szCs w:val="24"/>
        </w:rPr>
        <w:t xml:space="preserve"> most evident </w:t>
      </w:r>
      <w:r w:rsidR="00ED1541">
        <w:rPr>
          <w:sz w:val="24"/>
          <w:szCs w:val="24"/>
        </w:rPr>
        <w:t>for quetiapine 25</w:t>
      </w:r>
      <w:r w:rsidR="00893956">
        <w:rPr>
          <w:sz w:val="24"/>
          <w:szCs w:val="24"/>
        </w:rPr>
        <w:t> </w:t>
      </w:r>
      <w:r w:rsidR="00ED1541">
        <w:rPr>
          <w:sz w:val="24"/>
          <w:szCs w:val="24"/>
        </w:rPr>
        <w:t>mg tablets where</w:t>
      </w:r>
      <w:r w:rsidR="00F31CBF">
        <w:rPr>
          <w:sz w:val="24"/>
          <w:szCs w:val="24"/>
        </w:rPr>
        <w:t xml:space="preserve"> there w</w:t>
      </w:r>
      <w:r w:rsidR="00554F6F">
        <w:rPr>
          <w:sz w:val="24"/>
          <w:szCs w:val="24"/>
        </w:rPr>
        <w:t>ere</w:t>
      </w:r>
      <w:r w:rsidR="00F31CBF">
        <w:rPr>
          <w:sz w:val="24"/>
          <w:szCs w:val="24"/>
        </w:rPr>
        <w:t xml:space="preserve"> high and growing number</w:t>
      </w:r>
      <w:r w:rsidR="00554F6F">
        <w:rPr>
          <w:sz w:val="24"/>
          <w:szCs w:val="24"/>
        </w:rPr>
        <w:t>s</w:t>
      </w:r>
      <w:r w:rsidR="00F31CBF">
        <w:rPr>
          <w:sz w:val="24"/>
          <w:szCs w:val="24"/>
        </w:rPr>
        <w:t xml:space="preserve"> of prescriptions </w:t>
      </w:r>
      <w:r w:rsidR="00ED1541">
        <w:rPr>
          <w:sz w:val="24"/>
          <w:szCs w:val="24"/>
        </w:rPr>
        <w:t>despite this strength not</w:t>
      </w:r>
      <w:r w:rsidR="006878A3" w:rsidRPr="006878A3">
        <w:rPr>
          <w:sz w:val="24"/>
          <w:szCs w:val="24"/>
        </w:rPr>
        <w:t xml:space="preserve"> generally </w:t>
      </w:r>
      <w:r w:rsidR="00ED1541">
        <w:rPr>
          <w:sz w:val="24"/>
          <w:szCs w:val="24"/>
        </w:rPr>
        <w:t xml:space="preserve">being considered to be </w:t>
      </w:r>
      <w:r w:rsidR="006878A3" w:rsidRPr="006878A3">
        <w:rPr>
          <w:sz w:val="24"/>
          <w:szCs w:val="24"/>
        </w:rPr>
        <w:t xml:space="preserve">a therapeutic dose to treat the PBS subsidised indications of schizophrenia and bipolar disorder. </w:t>
      </w:r>
    </w:p>
    <w:p w:rsidR="008232E9" w:rsidRDefault="008232E9" w:rsidP="006878A3">
      <w:pPr>
        <w:rPr>
          <w:sz w:val="24"/>
          <w:szCs w:val="24"/>
        </w:rPr>
      </w:pPr>
    </w:p>
    <w:p w:rsidR="008232E9" w:rsidRDefault="008232E9" w:rsidP="006878A3">
      <w:pPr>
        <w:rPr>
          <w:sz w:val="24"/>
          <w:szCs w:val="24"/>
        </w:rPr>
      </w:pPr>
      <w:r>
        <w:rPr>
          <w:sz w:val="24"/>
          <w:szCs w:val="24"/>
        </w:rPr>
        <w:t>In response to this concern the PBAC</w:t>
      </w:r>
      <w:r w:rsidR="00554F6F">
        <w:rPr>
          <w:sz w:val="24"/>
          <w:szCs w:val="24"/>
        </w:rPr>
        <w:t xml:space="preserve"> </w:t>
      </w:r>
      <w:r>
        <w:rPr>
          <w:sz w:val="24"/>
          <w:szCs w:val="24"/>
        </w:rPr>
        <w:t xml:space="preserve">recommended </w:t>
      </w:r>
      <w:r w:rsidRPr="008232E9">
        <w:rPr>
          <w:sz w:val="24"/>
          <w:szCs w:val="24"/>
        </w:rPr>
        <w:t>that the number of repeats of 25mg quetiapine be reduced from five to zero. This listing was considered to be sufficient for dose titration in bipolar disease and schizophrenia, and would encourage regular prescriber review for patients treated for non-subsidised indications.</w:t>
      </w:r>
    </w:p>
    <w:p w:rsidR="006878A3" w:rsidRDefault="006878A3" w:rsidP="006878A3">
      <w:pPr>
        <w:rPr>
          <w:sz w:val="24"/>
          <w:szCs w:val="24"/>
        </w:rPr>
      </w:pPr>
    </w:p>
    <w:p w:rsidR="00DE49A5" w:rsidRDefault="00CB1889" w:rsidP="006878A3">
      <w:pPr>
        <w:rPr>
          <w:sz w:val="24"/>
          <w:szCs w:val="24"/>
        </w:rPr>
      </w:pPr>
      <w:r>
        <w:rPr>
          <w:sz w:val="24"/>
          <w:szCs w:val="24"/>
        </w:rPr>
        <w:t>DUSC found that t</w:t>
      </w:r>
      <w:r w:rsidR="00BF1F11" w:rsidRPr="00BF1F11">
        <w:rPr>
          <w:sz w:val="24"/>
          <w:szCs w:val="24"/>
        </w:rPr>
        <w:t>he intervention to change the listing of the 25 mg strength to allow no repeats from 1</w:t>
      </w:r>
      <w:r>
        <w:rPr>
          <w:sz w:val="24"/>
          <w:szCs w:val="24"/>
        </w:rPr>
        <w:t> </w:t>
      </w:r>
      <w:r w:rsidR="00BF1F11" w:rsidRPr="00BF1F11">
        <w:rPr>
          <w:sz w:val="24"/>
          <w:szCs w:val="24"/>
        </w:rPr>
        <w:t>January</w:t>
      </w:r>
      <w:r>
        <w:rPr>
          <w:sz w:val="24"/>
          <w:szCs w:val="24"/>
        </w:rPr>
        <w:t> </w:t>
      </w:r>
      <w:r w:rsidR="00BF1F11" w:rsidRPr="00BF1F11">
        <w:rPr>
          <w:sz w:val="24"/>
          <w:szCs w:val="24"/>
        </w:rPr>
        <w:t>2014 was effective in supporting its intended use as a titrating dose for PBS listed indications and reducing inappropriate use. There were 136,000 fewer prescriptions of quetiapine 25mg dispensed through the PBS in 2015 compared with 2013.</w:t>
      </w:r>
    </w:p>
    <w:p w:rsidR="008232E9" w:rsidRDefault="008232E9" w:rsidP="006878A3">
      <w:pPr>
        <w:rPr>
          <w:sz w:val="24"/>
          <w:szCs w:val="24"/>
        </w:rPr>
      </w:pPr>
    </w:p>
    <w:p w:rsidR="00CB1889" w:rsidRDefault="005414F3" w:rsidP="00E42DD2">
      <w:pPr>
        <w:rPr>
          <w:sz w:val="24"/>
          <w:szCs w:val="24"/>
        </w:rPr>
      </w:pPr>
      <w:r w:rsidRPr="005414F3">
        <w:rPr>
          <w:sz w:val="24"/>
          <w:szCs w:val="24"/>
        </w:rPr>
        <w:t xml:space="preserve">While the use of quetiapine 25 mg had decreased, vigilance is still needed to </w:t>
      </w:r>
      <w:r w:rsidR="00CB1889">
        <w:rPr>
          <w:sz w:val="24"/>
          <w:szCs w:val="24"/>
        </w:rPr>
        <w:t>encourage</w:t>
      </w:r>
      <w:r w:rsidR="00CB1889" w:rsidRPr="005414F3">
        <w:rPr>
          <w:sz w:val="24"/>
          <w:szCs w:val="24"/>
        </w:rPr>
        <w:t xml:space="preserve"> </w:t>
      </w:r>
      <w:r w:rsidRPr="005414F3">
        <w:rPr>
          <w:sz w:val="24"/>
          <w:szCs w:val="24"/>
        </w:rPr>
        <w:t xml:space="preserve">the appropriate use </w:t>
      </w:r>
      <w:r w:rsidR="008232E9">
        <w:rPr>
          <w:sz w:val="24"/>
          <w:szCs w:val="24"/>
        </w:rPr>
        <w:t>antipsychotics</w:t>
      </w:r>
      <w:r w:rsidR="001223D1">
        <w:rPr>
          <w:sz w:val="24"/>
          <w:szCs w:val="24"/>
        </w:rPr>
        <w:t xml:space="preserve"> as off-label prescribing is still evident</w:t>
      </w:r>
      <w:r w:rsidRPr="005414F3">
        <w:rPr>
          <w:sz w:val="24"/>
          <w:szCs w:val="24"/>
        </w:rPr>
        <w:t>.</w:t>
      </w:r>
      <w:r w:rsidR="00CB1889">
        <w:rPr>
          <w:sz w:val="24"/>
          <w:szCs w:val="24"/>
        </w:rPr>
        <w:t xml:space="preserve"> </w:t>
      </w:r>
      <w:r w:rsidRPr="005414F3">
        <w:rPr>
          <w:sz w:val="24"/>
          <w:szCs w:val="24"/>
        </w:rPr>
        <w:t>Limited data are available to weigh up the benefits and harms of off-label prescribing of antipsychotics</w:t>
      </w:r>
      <w:r w:rsidR="00CB1889">
        <w:rPr>
          <w:sz w:val="24"/>
          <w:szCs w:val="24"/>
        </w:rPr>
        <w:t xml:space="preserve">. </w:t>
      </w:r>
    </w:p>
    <w:p w:rsidR="00CB1889" w:rsidRDefault="00CB1889" w:rsidP="00E42DD2">
      <w:pPr>
        <w:rPr>
          <w:sz w:val="24"/>
          <w:szCs w:val="24"/>
        </w:rPr>
      </w:pPr>
    </w:p>
    <w:p w:rsidR="00E42DD2" w:rsidRPr="00E42DD2" w:rsidRDefault="00E42DD2" w:rsidP="00E42DD2">
      <w:pPr>
        <w:rPr>
          <w:sz w:val="24"/>
          <w:szCs w:val="24"/>
        </w:rPr>
      </w:pPr>
      <w:r w:rsidRPr="00E42DD2">
        <w:rPr>
          <w:sz w:val="24"/>
          <w:szCs w:val="24"/>
        </w:rPr>
        <w:t>Age-adjusted rates of antipsychotic prescribing increased with age, particularly in people aged 80 years and over. The widespread use of antipsychotics in the elderly was considered to remain an issue.</w:t>
      </w:r>
    </w:p>
    <w:p w:rsidR="00E42DD2" w:rsidRPr="00E42DD2" w:rsidRDefault="00E42DD2" w:rsidP="00E42DD2">
      <w:pPr>
        <w:rPr>
          <w:sz w:val="24"/>
          <w:szCs w:val="24"/>
        </w:rPr>
      </w:pPr>
    </w:p>
    <w:p w:rsidR="00E42DD2" w:rsidRPr="00E42DD2" w:rsidRDefault="00E42DD2" w:rsidP="00E42DD2">
      <w:pPr>
        <w:rPr>
          <w:sz w:val="24"/>
          <w:szCs w:val="24"/>
        </w:rPr>
      </w:pPr>
      <w:r w:rsidRPr="00E42DD2">
        <w:rPr>
          <w:sz w:val="24"/>
          <w:szCs w:val="24"/>
        </w:rPr>
        <w:t>The DUSC requested that the report be provided to the PBAC</w:t>
      </w:r>
      <w:r w:rsidR="00893956">
        <w:rPr>
          <w:sz w:val="24"/>
          <w:szCs w:val="24"/>
        </w:rPr>
        <w:t>;</w:t>
      </w:r>
      <w:r w:rsidRPr="00E42DD2">
        <w:rPr>
          <w:sz w:val="24"/>
          <w:szCs w:val="24"/>
        </w:rPr>
        <w:t xml:space="preserve"> noting that the change of quetiapine 25mg listing to allow no repeats has resulted in a large decline in the number of quetiapine prescriptions dispensed through the PBS.</w:t>
      </w:r>
    </w:p>
    <w:p w:rsidR="00AC6543" w:rsidRDefault="00AC6543" w:rsidP="008B6946">
      <w:pPr>
        <w:rPr>
          <w:sz w:val="24"/>
          <w:szCs w:val="24"/>
        </w:rPr>
      </w:pPr>
    </w:p>
    <w:p w:rsidR="00213EAC" w:rsidRDefault="005B0558" w:rsidP="00213EAC">
      <w:pPr>
        <w:rPr>
          <w:b/>
          <w:sz w:val="24"/>
          <w:szCs w:val="24"/>
        </w:rPr>
      </w:pPr>
      <w:r>
        <w:rPr>
          <w:b/>
          <w:sz w:val="24"/>
          <w:szCs w:val="24"/>
        </w:rPr>
        <w:t>Mifepristone and misoprostol for termination of pregnancy</w:t>
      </w:r>
    </w:p>
    <w:p w:rsidR="00213EAC" w:rsidRPr="00B25209" w:rsidRDefault="00213EAC" w:rsidP="00213EAC">
      <w:pPr>
        <w:rPr>
          <w:sz w:val="24"/>
          <w:szCs w:val="24"/>
        </w:rPr>
      </w:pPr>
    </w:p>
    <w:p w:rsidR="004C01CD" w:rsidRDefault="004C01CD" w:rsidP="00B25209">
      <w:pPr>
        <w:spacing w:after="200"/>
        <w:contextualSpacing/>
        <w:rPr>
          <w:sz w:val="24"/>
          <w:szCs w:val="24"/>
        </w:rPr>
      </w:pPr>
      <w:r>
        <w:rPr>
          <w:sz w:val="24"/>
          <w:szCs w:val="24"/>
        </w:rPr>
        <w:t>Mifepristone and misoprostol were PBS listed for the termination of an intra-uterine pregnancy on 1 August 2013. When recommending this listing</w:t>
      </w:r>
      <w:r w:rsidR="00893956">
        <w:rPr>
          <w:sz w:val="24"/>
          <w:szCs w:val="24"/>
        </w:rPr>
        <w:t>,</w:t>
      </w:r>
      <w:r>
        <w:rPr>
          <w:sz w:val="24"/>
          <w:szCs w:val="24"/>
        </w:rPr>
        <w:t xml:space="preserve"> the PBAC considered that medical termination of pregnancy with mifepristone and misoprostol allows a choice for women who have decided to undergo a termination</w:t>
      </w:r>
      <w:r w:rsidR="00893956">
        <w:rPr>
          <w:sz w:val="24"/>
          <w:szCs w:val="24"/>
        </w:rPr>
        <w:t>,</w:t>
      </w:r>
      <w:r>
        <w:rPr>
          <w:sz w:val="24"/>
          <w:szCs w:val="24"/>
        </w:rPr>
        <w:t xml:space="preserve"> and its availability through the PBS was considered unlikely to result in an increase in overall terminations of pregnancy. </w:t>
      </w:r>
    </w:p>
    <w:p w:rsidR="004C01CD" w:rsidRDefault="004C01CD" w:rsidP="00B25209">
      <w:pPr>
        <w:spacing w:after="200"/>
        <w:contextualSpacing/>
        <w:rPr>
          <w:sz w:val="24"/>
          <w:szCs w:val="24"/>
        </w:rPr>
      </w:pPr>
    </w:p>
    <w:p w:rsidR="004C01CD" w:rsidRDefault="004C01CD" w:rsidP="00B25209">
      <w:pPr>
        <w:spacing w:after="200"/>
        <w:contextualSpacing/>
        <w:rPr>
          <w:sz w:val="24"/>
          <w:szCs w:val="24"/>
        </w:rPr>
      </w:pPr>
      <w:r w:rsidRPr="004C01CD">
        <w:rPr>
          <w:sz w:val="24"/>
          <w:szCs w:val="24"/>
        </w:rPr>
        <w:t xml:space="preserve">Data available to date suggests the introduction of mifepristone and misoprostol on the PBS has not increased the number of </w:t>
      </w:r>
      <w:r w:rsidR="00893956">
        <w:rPr>
          <w:sz w:val="24"/>
          <w:szCs w:val="24"/>
        </w:rPr>
        <w:t>terminations of pregnancy</w:t>
      </w:r>
      <w:r w:rsidRPr="004C01CD">
        <w:rPr>
          <w:sz w:val="24"/>
          <w:szCs w:val="24"/>
        </w:rPr>
        <w:t xml:space="preserve"> in Australia per year. </w:t>
      </w:r>
    </w:p>
    <w:p w:rsidR="004C01CD" w:rsidRDefault="004C01CD" w:rsidP="00B25209">
      <w:pPr>
        <w:spacing w:after="200"/>
        <w:contextualSpacing/>
        <w:rPr>
          <w:sz w:val="24"/>
          <w:szCs w:val="24"/>
        </w:rPr>
      </w:pPr>
    </w:p>
    <w:p w:rsidR="00B25209" w:rsidRPr="00B25209" w:rsidRDefault="00B25209" w:rsidP="00566D78">
      <w:pPr>
        <w:spacing w:after="200"/>
        <w:contextualSpacing/>
        <w:rPr>
          <w:sz w:val="24"/>
          <w:szCs w:val="24"/>
        </w:rPr>
      </w:pPr>
      <w:r w:rsidRPr="00B25209">
        <w:rPr>
          <w:sz w:val="24"/>
          <w:szCs w:val="24"/>
        </w:rPr>
        <w:t xml:space="preserve">The proportion of </w:t>
      </w:r>
      <w:r w:rsidR="001223D1">
        <w:rPr>
          <w:sz w:val="24"/>
          <w:szCs w:val="24"/>
        </w:rPr>
        <w:t xml:space="preserve">terminations of pregnancy </w:t>
      </w:r>
      <w:r w:rsidRPr="00B25209">
        <w:rPr>
          <w:sz w:val="24"/>
          <w:szCs w:val="24"/>
        </w:rPr>
        <w:t>undertaken by the medical method has been lower than predicted.</w:t>
      </w:r>
      <w:r w:rsidR="004C01CD">
        <w:rPr>
          <w:sz w:val="24"/>
          <w:szCs w:val="24"/>
        </w:rPr>
        <w:t xml:space="preserve"> </w:t>
      </w:r>
      <w:r w:rsidR="00566D78">
        <w:rPr>
          <w:sz w:val="24"/>
          <w:szCs w:val="24"/>
        </w:rPr>
        <w:t xml:space="preserve">Factors contributing to this may include that the proportion of women choosing medical rather than surgical termination may have been overestimated, </w:t>
      </w:r>
      <w:r w:rsidRPr="00B25209">
        <w:rPr>
          <w:bCs/>
          <w:sz w:val="24"/>
          <w:szCs w:val="24"/>
        </w:rPr>
        <w:t xml:space="preserve">jurisdictional laws in some states </w:t>
      </w:r>
      <w:r w:rsidR="00566D78">
        <w:rPr>
          <w:bCs/>
          <w:sz w:val="24"/>
          <w:szCs w:val="24"/>
        </w:rPr>
        <w:t xml:space="preserve">and medical </w:t>
      </w:r>
      <w:r w:rsidR="00566D78" w:rsidRPr="00566D78">
        <w:rPr>
          <w:bCs/>
          <w:sz w:val="24"/>
          <w:szCs w:val="24"/>
        </w:rPr>
        <w:t xml:space="preserve">indemnity insurance requirements </w:t>
      </w:r>
      <w:r w:rsidR="00566D78">
        <w:rPr>
          <w:bCs/>
          <w:sz w:val="24"/>
          <w:szCs w:val="24"/>
        </w:rPr>
        <w:t xml:space="preserve">may </w:t>
      </w:r>
      <w:r w:rsidRPr="00B25209">
        <w:rPr>
          <w:bCs/>
          <w:sz w:val="24"/>
          <w:szCs w:val="24"/>
        </w:rPr>
        <w:t xml:space="preserve">pose a barrier, there </w:t>
      </w:r>
      <w:r w:rsidRPr="00B25209">
        <w:rPr>
          <w:bCs/>
          <w:sz w:val="24"/>
          <w:szCs w:val="24"/>
        </w:rPr>
        <w:lastRenderedPageBreak/>
        <w:t>are a low number of certified prescribers, and there is some private prescribing not captured in the PBS dataset.</w:t>
      </w:r>
    </w:p>
    <w:p w:rsidR="009C5FCE" w:rsidRPr="00B25209" w:rsidRDefault="009C5FCE" w:rsidP="009C5FCE">
      <w:pPr>
        <w:rPr>
          <w:sz w:val="24"/>
          <w:szCs w:val="24"/>
        </w:rPr>
      </w:pPr>
    </w:p>
    <w:p w:rsidR="000F5C42" w:rsidRDefault="00213EAC">
      <w:pPr>
        <w:rPr>
          <w:sz w:val="24"/>
          <w:szCs w:val="24"/>
        </w:rPr>
      </w:pPr>
      <w:r w:rsidRPr="00B25209">
        <w:rPr>
          <w:sz w:val="24"/>
          <w:szCs w:val="24"/>
        </w:rPr>
        <w:t>The DUSC requested that the report be provided to the PBAC</w:t>
      </w:r>
      <w:r w:rsidR="004C01CD">
        <w:rPr>
          <w:sz w:val="24"/>
          <w:szCs w:val="24"/>
        </w:rPr>
        <w:t xml:space="preserve"> for information</w:t>
      </w:r>
      <w:r w:rsidRPr="00B25209">
        <w:rPr>
          <w:sz w:val="24"/>
          <w:szCs w:val="24"/>
        </w:rPr>
        <w:t>.</w:t>
      </w:r>
    </w:p>
    <w:p w:rsidR="000F5C42" w:rsidRDefault="000F5C42">
      <w:pPr>
        <w:rPr>
          <w:sz w:val="24"/>
          <w:szCs w:val="24"/>
        </w:rPr>
      </w:pPr>
    </w:p>
    <w:p w:rsidR="00213EAC" w:rsidRDefault="005B0558" w:rsidP="00213EAC">
      <w:pPr>
        <w:rPr>
          <w:b/>
          <w:sz w:val="24"/>
          <w:szCs w:val="24"/>
        </w:rPr>
      </w:pPr>
      <w:r>
        <w:rPr>
          <w:b/>
          <w:sz w:val="24"/>
          <w:szCs w:val="24"/>
        </w:rPr>
        <w:t>Osteoporosis</w:t>
      </w:r>
    </w:p>
    <w:p w:rsidR="00F5721A" w:rsidRDefault="00F5721A" w:rsidP="00213EAC">
      <w:pPr>
        <w:rPr>
          <w:b/>
          <w:sz w:val="24"/>
          <w:szCs w:val="24"/>
        </w:rPr>
      </w:pPr>
    </w:p>
    <w:p w:rsidR="0035787B" w:rsidRPr="0035787B" w:rsidRDefault="0035787B" w:rsidP="0035787B">
      <w:pPr>
        <w:rPr>
          <w:sz w:val="24"/>
          <w:szCs w:val="24"/>
        </w:rPr>
      </w:pPr>
      <w:r w:rsidRPr="0035787B">
        <w:rPr>
          <w:sz w:val="24"/>
          <w:szCs w:val="24"/>
        </w:rPr>
        <w:t xml:space="preserve">In 2015, </w:t>
      </w:r>
      <w:r w:rsidR="00102579">
        <w:rPr>
          <w:sz w:val="24"/>
          <w:szCs w:val="24"/>
        </w:rPr>
        <w:t xml:space="preserve">close to 500,000 </w:t>
      </w:r>
      <w:r w:rsidRPr="0035787B">
        <w:rPr>
          <w:sz w:val="24"/>
          <w:szCs w:val="24"/>
        </w:rPr>
        <w:t xml:space="preserve">patients were treated with osteoporosis medicines through the PBS. Prior to 2015, the rate of treatment with osteoporosis medicines was in decline despite reports of increasing prevalence. DUSC noted that this may be attributed to safety concerns with the use of some of the medicines but also considered the clinical practice of taking drug “holidays” from the bisphosphonates may be a factor in the lower treatment rates. </w:t>
      </w:r>
    </w:p>
    <w:p w:rsidR="0035787B" w:rsidRPr="0035787B" w:rsidRDefault="0035787B" w:rsidP="0035787B">
      <w:pPr>
        <w:rPr>
          <w:sz w:val="24"/>
          <w:szCs w:val="24"/>
        </w:rPr>
      </w:pPr>
    </w:p>
    <w:p w:rsidR="0035787B" w:rsidRPr="0035787B" w:rsidRDefault="0035787B" w:rsidP="0035787B">
      <w:pPr>
        <w:rPr>
          <w:sz w:val="24"/>
          <w:szCs w:val="24"/>
        </w:rPr>
      </w:pPr>
      <w:r w:rsidRPr="0035787B">
        <w:rPr>
          <w:sz w:val="24"/>
          <w:szCs w:val="24"/>
        </w:rPr>
        <w:t xml:space="preserve">Approximately half of </w:t>
      </w:r>
      <w:r w:rsidR="00A06FDB">
        <w:rPr>
          <w:sz w:val="24"/>
          <w:szCs w:val="24"/>
        </w:rPr>
        <w:t xml:space="preserve">all </w:t>
      </w:r>
      <w:r w:rsidRPr="0035787B">
        <w:rPr>
          <w:sz w:val="24"/>
          <w:szCs w:val="24"/>
        </w:rPr>
        <w:t>people starting osteoporosis therapy for the first time in 2015 were prescribed denosumab and a large number of people already on treatment with other medicines switched to denosumab. The higher than expected uptake of denosumab may relate to patient and clinician preference</w:t>
      </w:r>
      <w:r>
        <w:rPr>
          <w:sz w:val="24"/>
          <w:szCs w:val="24"/>
        </w:rPr>
        <w:t xml:space="preserve"> for a medicine </w:t>
      </w:r>
      <w:r w:rsidRPr="0035787B">
        <w:rPr>
          <w:sz w:val="24"/>
          <w:szCs w:val="24"/>
        </w:rPr>
        <w:t>given as a six</w:t>
      </w:r>
      <w:r w:rsidR="00893956">
        <w:rPr>
          <w:sz w:val="24"/>
          <w:szCs w:val="24"/>
        </w:rPr>
        <w:t>-</w:t>
      </w:r>
      <w:r w:rsidRPr="0035787B">
        <w:rPr>
          <w:sz w:val="24"/>
          <w:szCs w:val="24"/>
        </w:rPr>
        <w:t xml:space="preserve">monthly subcutaneous injection. Although denosumab appears to be well tolerated and is </w:t>
      </w:r>
      <w:r>
        <w:rPr>
          <w:sz w:val="24"/>
          <w:szCs w:val="24"/>
        </w:rPr>
        <w:t>viewed</w:t>
      </w:r>
      <w:r w:rsidRPr="0035787B">
        <w:rPr>
          <w:sz w:val="24"/>
          <w:szCs w:val="24"/>
        </w:rPr>
        <w:t xml:space="preserve"> by clinicians to be comparatively safe, DUSC considered that ongoing vigilance and education is requ</w:t>
      </w:r>
      <w:r w:rsidR="00893956">
        <w:rPr>
          <w:sz w:val="24"/>
          <w:szCs w:val="24"/>
        </w:rPr>
        <w:t>ired to minimise the risk of co</w:t>
      </w:r>
      <w:r w:rsidRPr="0035787B">
        <w:rPr>
          <w:sz w:val="24"/>
          <w:szCs w:val="24"/>
        </w:rPr>
        <w:t>administration of oral osteoporosis medicines with the injectable medicines, to recognise and manage adverse events</w:t>
      </w:r>
      <w:r>
        <w:rPr>
          <w:sz w:val="24"/>
          <w:szCs w:val="24"/>
        </w:rPr>
        <w:t xml:space="preserve"> of denosumab</w:t>
      </w:r>
      <w:r w:rsidRPr="0035787B">
        <w:rPr>
          <w:sz w:val="24"/>
          <w:szCs w:val="24"/>
        </w:rPr>
        <w:t>, and to understand the risk of vertebral fractures occurring after denosumab discontinuation.</w:t>
      </w:r>
    </w:p>
    <w:p w:rsidR="0035787B" w:rsidRPr="0035787B" w:rsidRDefault="0035787B" w:rsidP="0035787B">
      <w:pPr>
        <w:rPr>
          <w:sz w:val="24"/>
          <w:szCs w:val="24"/>
        </w:rPr>
      </w:pPr>
    </w:p>
    <w:p w:rsidR="0035787B" w:rsidRDefault="0035787B" w:rsidP="0035787B">
      <w:pPr>
        <w:rPr>
          <w:sz w:val="24"/>
          <w:szCs w:val="24"/>
        </w:rPr>
      </w:pPr>
      <w:r w:rsidRPr="0035787B">
        <w:rPr>
          <w:sz w:val="24"/>
          <w:szCs w:val="24"/>
        </w:rPr>
        <w:t>The DUSC requested that the report be provided to the PBAC.</w:t>
      </w:r>
    </w:p>
    <w:p w:rsidR="005B0558" w:rsidRDefault="005B0558" w:rsidP="00997DB5">
      <w:pPr>
        <w:rPr>
          <w:sz w:val="24"/>
          <w:szCs w:val="24"/>
        </w:rPr>
      </w:pPr>
    </w:p>
    <w:p w:rsidR="005B0558" w:rsidRDefault="005B0558" w:rsidP="005B0558">
      <w:pPr>
        <w:rPr>
          <w:b/>
          <w:sz w:val="24"/>
          <w:szCs w:val="24"/>
        </w:rPr>
      </w:pPr>
      <w:r>
        <w:rPr>
          <w:b/>
          <w:sz w:val="24"/>
          <w:szCs w:val="24"/>
        </w:rPr>
        <w:t>Rifaximin for prevention of hepatic encephalopathy</w:t>
      </w:r>
    </w:p>
    <w:p w:rsidR="005B0558" w:rsidRDefault="005B0558" w:rsidP="005B0558">
      <w:pPr>
        <w:rPr>
          <w:sz w:val="24"/>
          <w:szCs w:val="24"/>
        </w:rPr>
      </w:pPr>
    </w:p>
    <w:p w:rsidR="00C10F2E" w:rsidRPr="00C10F2E" w:rsidRDefault="00C10F2E" w:rsidP="00C10F2E">
      <w:pPr>
        <w:rPr>
          <w:sz w:val="24"/>
          <w:szCs w:val="24"/>
        </w:rPr>
      </w:pPr>
      <w:r>
        <w:rPr>
          <w:sz w:val="24"/>
          <w:szCs w:val="24"/>
        </w:rPr>
        <w:t>I</w:t>
      </w:r>
      <w:r w:rsidRPr="00C10F2E">
        <w:rPr>
          <w:sz w:val="24"/>
          <w:szCs w:val="24"/>
        </w:rPr>
        <w:t xml:space="preserve">n the period from 1 December 2013 to 31 March 2016, 2,892 people were supplied at least one PBS/RPBS prescription for rifaximin. The number of patients supplied rifaximin was higher than predicted in both the first and second years of listing. </w:t>
      </w:r>
    </w:p>
    <w:p w:rsidR="00C10F2E" w:rsidRPr="00C10F2E" w:rsidRDefault="00C10F2E" w:rsidP="00C10F2E">
      <w:pPr>
        <w:rPr>
          <w:sz w:val="24"/>
          <w:szCs w:val="24"/>
        </w:rPr>
      </w:pPr>
    </w:p>
    <w:p w:rsidR="00C10F2E" w:rsidRPr="00C10F2E" w:rsidRDefault="00C10F2E" w:rsidP="00C10F2E">
      <w:pPr>
        <w:rPr>
          <w:sz w:val="24"/>
          <w:szCs w:val="24"/>
        </w:rPr>
      </w:pPr>
      <w:r w:rsidRPr="00C10F2E">
        <w:rPr>
          <w:sz w:val="24"/>
          <w:szCs w:val="24"/>
        </w:rPr>
        <w:t>The number of prescriptions per patient per year was lower than estimated.</w:t>
      </w:r>
      <w:r w:rsidRPr="00C10F2E">
        <w:rPr>
          <w:i/>
          <w:sz w:val="24"/>
          <w:szCs w:val="24"/>
        </w:rPr>
        <w:t xml:space="preserve"> </w:t>
      </w:r>
      <w:r w:rsidRPr="00C10F2E">
        <w:rPr>
          <w:sz w:val="24"/>
          <w:szCs w:val="24"/>
        </w:rPr>
        <w:t xml:space="preserve">This </w:t>
      </w:r>
      <w:r w:rsidR="00A06FDB">
        <w:rPr>
          <w:sz w:val="24"/>
          <w:szCs w:val="24"/>
        </w:rPr>
        <w:t xml:space="preserve">may indicate poor adherence </w:t>
      </w:r>
      <w:r w:rsidRPr="00C10F2E">
        <w:rPr>
          <w:sz w:val="24"/>
          <w:szCs w:val="24"/>
        </w:rPr>
        <w:t>or intermittent use.</w:t>
      </w:r>
    </w:p>
    <w:p w:rsidR="00C10F2E" w:rsidRPr="00C10F2E" w:rsidRDefault="00C10F2E" w:rsidP="00C10F2E">
      <w:pPr>
        <w:rPr>
          <w:sz w:val="24"/>
          <w:szCs w:val="24"/>
        </w:rPr>
      </w:pPr>
    </w:p>
    <w:p w:rsidR="005B0558" w:rsidRDefault="005B0558" w:rsidP="005B0558">
      <w:pPr>
        <w:rPr>
          <w:sz w:val="24"/>
          <w:szCs w:val="24"/>
        </w:rPr>
      </w:pPr>
      <w:r w:rsidRPr="00F45B22">
        <w:rPr>
          <w:sz w:val="24"/>
          <w:szCs w:val="24"/>
        </w:rPr>
        <w:t>The DUSC requested that the report be provided to the PBAC.</w:t>
      </w:r>
    </w:p>
    <w:p w:rsidR="005B0558" w:rsidRPr="00F45B22" w:rsidRDefault="005B0558" w:rsidP="00997DB5">
      <w:pPr>
        <w:rPr>
          <w:sz w:val="24"/>
          <w:szCs w:val="24"/>
        </w:rPr>
      </w:pPr>
    </w:p>
    <w:p w:rsidR="005B0558" w:rsidRDefault="005B0558" w:rsidP="005B0558">
      <w:pPr>
        <w:rPr>
          <w:b/>
          <w:sz w:val="24"/>
          <w:szCs w:val="24"/>
        </w:rPr>
      </w:pPr>
      <w:r>
        <w:rPr>
          <w:b/>
          <w:sz w:val="24"/>
          <w:szCs w:val="24"/>
        </w:rPr>
        <w:t>Testosterone</w:t>
      </w:r>
    </w:p>
    <w:p w:rsidR="005B0558" w:rsidRDefault="005B0558" w:rsidP="005B0558">
      <w:pPr>
        <w:rPr>
          <w:sz w:val="24"/>
          <w:szCs w:val="24"/>
        </w:rPr>
      </w:pPr>
    </w:p>
    <w:p w:rsidR="008C2829" w:rsidRDefault="008C2829" w:rsidP="006826C3">
      <w:pPr>
        <w:pStyle w:val="NoSpacing"/>
        <w:rPr>
          <w:rFonts w:asciiTheme="minorHAnsi" w:hAnsiTheme="minorHAnsi"/>
        </w:rPr>
      </w:pPr>
      <w:r w:rsidRPr="008C2829">
        <w:rPr>
          <w:rFonts w:asciiTheme="minorHAnsi" w:hAnsiTheme="minorHAnsi"/>
        </w:rPr>
        <w:t xml:space="preserve">The report sought to determine the impact of the PBS restriction changes to testosterone that occurred on 1 April 2015. In the year after the restriction change, there was a 20% reduction in </w:t>
      </w:r>
      <w:r w:rsidR="00A06FDB">
        <w:rPr>
          <w:rFonts w:asciiTheme="minorHAnsi" w:hAnsiTheme="minorHAnsi"/>
        </w:rPr>
        <w:t xml:space="preserve">the number of </w:t>
      </w:r>
      <w:r w:rsidRPr="008C2829">
        <w:rPr>
          <w:rFonts w:asciiTheme="minorHAnsi" w:hAnsiTheme="minorHAnsi"/>
        </w:rPr>
        <w:t>people supplied PBS-subsidised testosterone and a 60% reduction in the number of people starting subsidised testosterone for the first time compared to the year before.</w:t>
      </w:r>
    </w:p>
    <w:p w:rsidR="006826C3" w:rsidRPr="008C2829" w:rsidRDefault="006826C3" w:rsidP="006826C3">
      <w:pPr>
        <w:pStyle w:val="NoSpacing"/>
        <w:rPr>
          <w:rFonts w:asciiTheme="minorHAnsi" w:hAnsiTheme="minorHAnsi"/>
        </w:rPr>
      </w:pPr>
    </w:p>
    <w:p w:rsidR="008C2829" w:rsidRDefault="008C2829" w:rsidP="006826C3">
      <w:pPr>
        <w:pStyle w:val="NoSpacing"/>
        <w:rPr>
          <w:rFonts w:asciiTheme="minorHAnsi" w:hAnsiTheme="minorHAnsi"/>
        </w:rPr>
      </w:pPr>
      <w:r w:rsidRPr="008C2829">
        <w:rPr>
          <w:rFonts w:asciiTheme="minorHAnsi" w:hAnsiTheme="minorHAnsi"/>
        </w:rPr>
        <w:t xml:space="preserve">The most extensive restriction changes were for people aged 40 years or older who had androgen deficiency not caused by a pituitary or testicular disorder. In this group, there was an 86% reduction in patients starting subsidised testosterone for the first time. </w:t>
      </w:r>
    </w:p>
    <w:p w:rsidR="006826C3" w:rsidRPr="008C2829" w:rsidRDefault="006826C3" w:rsidP="006826C3">
      <w:pPr>
        <w:pStyle w:val="NoSpacing"/>
        <w:rPr>
          <w:rFonts w:asciiTheme="minorHAnsi" w:hAnsiTheme="minorHAnsi"/>
        </w:rPr>
      </w:pPr>
    </w:p>
    <w:p w:rsidR="008C2829" w:rsidRPr="008C2829" w:rsidRDefault="008C2829" w:rsidP="006826C3">
      <w:pPr>
        <w:pStyle w:val="NoSpacing"/>
        <w:rPr>
          <w:rFonts w:asciiTheme="minorHAnsi" w:hAnsiTheme="minorHAnsi"/>
        </w:rPr>
      </w:pPr>
      <w:r w:rsidRPr="008C2829">
        <w:rPr>
          <w:rFonts w:asciiTheme="minorHAnsi" w:hAnsiTheme="minorHAnsi"/>
        </w:rPr>
        <w:t>DUSC noted a number of responses were received from stakeholders, including clinical groups. DUSC requested that the report and stakeholder responses be provided to the PBAC.</w:t>
      </w:r>
    </w:p>
    <w:p w:rsidR="00813C07" w:rsidRPr="00584E81" w:rsidRDefault="00EC27B1" w:rsidP="008B6946">
      <w:pPr>
        <w:pStyle w:val="Heading2"/>
      </w:pPr>
      <w:r w:rsidRPr="00584E81">
        <w:lastRenderedPageBreak/>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proofErr w:type="gramStart"/>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and therapeutic areas have</w:t>
      </w:r>
      <w:proofErr w:type="gramEnd"/>
      <w:r w:rsidR="00D55ED4" w:rsidRPr="00584E81">
        <w:rPr>
          <w:sz w:val="24"/>
          <w:szCs w:val="24"/>
        </w:rPr>
        <w:t xml:space="preser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237631" w:rsidRPr="00237631" w:rsidRDefault="00237631" w:rsidP="008B6946">
      <w:pPr>
        <w:rPr>
          <w:b/>
          <w:sz w:val="24"/>
          <w:szCs w:val="24"/>
        </w:rPr>
      </w:pPr>
      <w:r w:rsidRPr="00237631">
        <w:rPr>
          <w:b/>
          <w:sz w:val="24"/>
          <w:szCs w:val="24"/>
        </w:rPr>
        <w:t>Predicted versus Actual Utilisation Analysis</w:t>
      </w:r>
      <w:r w:rsidR="002722F2">
        <w:rPr>
          <w:b/>
          <w:sz w:val="24"/>
          <w:szCs w:val="24"/>
        </w:rPr>
        <w:t xml:space="preserve"> </w:t>
      </w:r>
    </w:p>
    <w:p w:rsidR="00E05CA9" w:rsidRDefault="00E05CA9" w:rsidP="00E05CA9">
      <w:pPr>
        <w:pStyle w:val="ListParagraph"/>
        <w:numPr>
          <w:ilvl w:val="0"/>
          <w:numId w:val="39"/>
        </w:numPr>
        <w:rPr>
          <w:szCs w:val="24"/>
        </w:rPr>
      </w:pPr>
      <w:r>
        <w:rPr>
          <w:szCs w:val="24"/>
        </w:rPr>
        <w:t>Everolimus for m</w:t>
      </w:r>
      <w:r w:rsidRPr="00E05CA9">
        <w:rPr>
          <w:szCs w:val="24"/>
        </w:rPr>
        <w:t xml:space="preserve">etastatic hormone receptor positive, HER2 negative breast cancer in combination with </w:t>
      </w:r>
      <w:proofErr w:type="spellStart"/>
      <w:r w:rsidRPr="00E05CA9">
        <w:rPr>
          <w:szCs w:val="24"/>
        </w:rPr>
        <w:t>exemestane</w:t>
      </w:r>
      <w:proofErr w:type="spellEnd"/>
    </w:p>
    <w:p w:rsidR="004F083B" w:rsidRDefault="00B41D14" w:rsidP="005B0558">
      <w:pPr>
        <w:pStyle w:val="ListParagraph"/>
        <w:numPr>
          <w:ilvl w:val="0"/>
          <w:numId w:val="39"/>
        </w:numPr>
        <w:rPr>
          <w:szCs w:val="24"/>
        </w:rPr>
      </w:pPr>
      <w:r>
        <w:rPr>
          <w:szCs w:val="24"/>
        </w:rPr>
        <w:t xml:space="preserve">Iron, as ferric </w:t>
      </w:r>
      <w:proofErr w:type="spellStart"/>
      <w:r>
        <w:rPr>
          <w:szCs w:val="24"/>
        </w:rPr>
        <w:t>carboxymaltose</w:t>
      </w:r>
      <w:proofErr w:type="spellEnd"/>
    </w:p>
    <w:p w:rsidR="00E05CA9" w:rsidRDefault="00E05CA9" w:rsidP="00E05CA9">
      <w:pPr>
        <w:pStyle w:val="ListParagraph"/>
        <w:numPr>
          <w:ilvl w:val="0"/>
          <w:numId w:val="39"/>
        </w:numPr>
        <w:rPr>
          <w:szCs w:val="24"/>
        </w:rPr>
      </w:pPr>
      <w:r>
        <w:rPr>
          <w:szCs w:val="24"/>
        </w:rPr>
        <w:t>Tobramycin inhalation for p</w:t>
      </w:r>
      <w:r w:rsidRPr="00E05CA9">
        <w:rPr>
          <w:szCs w:val="24"/>
        </w:rPr>
        <w:t>seudomonas aeruginosa infection in cystic fibrosis patients</w:t>
      </w:r>
    </w:p>
    <w:p w:rsidR="00102579" w:rsidRDefault="00102579" w:rsidP="008226BA">
      <w:pPr>
        <w:pStyle w:val="ListParagraph"/>
        <w:autoSpaceDE w:val="0"/>
        <w:autoSpaceDN w:val="0"/>
        <w:adjustRightInd w:val="0"/>
        <w:ind w:left="0"/>
        <w:contextualSpacing/>
        <w:rPr>
          <w:b/>
          <w:szCs w:val="24"/>
        </w:rPr>
      </w:pPr>
    </w:p>
    <w:p w:rsidR="007D29DA" w:rsidRPr="00235EF9" w:rsidRDefault="007D29DA" w:rsidP="008226BA">
      <w:pPr>
        <w:pStyle w:val="ListParagraph"/>
        <w:autoSpaceDE w:val="0"/>
        <w:autoSpaceDN w:val="0"/>
        <w:adjustRightInd w:val="0"/>
        <w:ind w:left="0"/>
        <w:contextualSpacing/>
        <w:rPr>
          <w:b/>
          <w:szCs w:val="24"/>
        </w:rPr>
      </w:pPr>
      <w:r w:rsidRPr="00235EF9">
        <w:rPr>
          <w:b/>
          <w:szCs w:val="24"/>
        </w:rPr>
        <w:t>Analysis of multiple medicines in a treatment area</w:t>
      </w:r>
    </w:p>
    <w:p w:rsidR="003C7822" w:rsidRPr="003C7822" w:rsidRDefault="00B41D14" w:rsidP="005B0558">
      <w:pPr>
        <w:pStyle w:val="ListParagraph"/>
        <w:numPr>
          <w:ilvl w:val="0"/>
          <w:numId w:val="39"/>
        </w:numPr>
        <w:autoSpaceDE w:val="0"/>
        <w:autoSpaceDN w:val="0"/>
        <w:adjustRightInd w:val="0"/>
        <w:contextualSpacing/>
        <w:rPr>
          <w:szCs w:val="24"/>
        </w:rPr>
      </w:pPr>
      <w:r>
        <w:t>M</w:t>
      </w:r>
      <w:r w:rsidR="005B0558">
        <w:t>edicines</w:t>
      </w:r>
      <w:r>
        <w:t xml:space="preserve"> for the treatment of ulcerative colitis</w:t>
      </w:r>
      <w:r w:rsidR="00E05CA9">
        <w:t>, including predicted versus actual use of biologics for acute and maintenance treatment.</w:t>
      </w:r>
    </w:p>
    <w:p w:rsidR="00EC7AD6" w:rsidRDefault="00EC7AD6" w:rsidP="00EC7AD6">
      <w:pPr>
        <w:autoSpaceDE w:val="0"/>
        <w:autoSpaceDN w:val="0"/>
        <w:adjustRightInd w:val="0"/>
        <w:contextualSpacing/>
        <w:rPr>
          <w:sz w:val="24"/>
          <w:szCs w:val="24"/>
        </w:rPr>
      </w:pPr>
    </w:p>
    <w:p w:rsidR="003B30B8" w:rsidRPr="00102579" w:rsidRDefault="003B30B8" w:rsidP="00EC7AD6">
      <w:pPr>
        <w:autoSpaceDE w:val="0"/>
        <w:autoSpaceDN w:val="0"/>
        <w:adjustRightInd w:val="0"/>
        <w:contextualSpacing/>
        <w:rPr>
          <w:b/>
          <w:sz w:val="28"/>
        </w:rPr>
      </w:pPr>
      <w:r w:rsidRPr="00102579">
        <w:rPr>
          <w:b/>
          <w:sz w:val="28"/>
        </w:rPr>
        <w:t>Other matters</w:t>
      </w:r>
    </w:p>
    <w:p w:rsidR="0079098A" w:rsidRDefault="0079098A" w:rsidP="0079098A">
      <w:pPr>
        <w:autoSpaceDE w:val="0"/>
        <w:autoSpaceDN w:val="0"/>
        <w:adjustRightInd w:val="0"/>
        <w:contextualSpacing/>
        <w:rPr>
          <w:sz w:val="24"/>
          <w:szCs w:val="24"/>
        </w:rPr>
      </w:pPr>
      <w:bookmarkStart w:id="0" w:name="_GoBack"/>
      <w:bookmarkEnd w:id="0"/>
      <w:r>
        <w:rPr>
          <w:sz w:val="24"/>
          <w:szCs w:val="24"/>
        </w:rPr>
        <w:t xml:space="preserve">DUSC considered a report on </w:t>
      </w:r>
      <w:r w:rsidRPr="0079098A">
        <w:rPr>
          <w:sz w:val="24"/>
          <w:szCs w:val="24"/>
        </w:rPr>
        <w:t>PBS medicines prescribed by authorised dental practitioners</w:t>
      </w:r>
      <w:r>
        <w:rPr>
          <w:sz w:val="24"/>
          <w:szCs w:val="24"/>
        </w:rPr>
        <w:t>.</w:t>
      </w:r>
      <w:r w:rsidRPr="0079098A">
        <w:rPr>
          <w:sz w:val="24"/>
          <w:szCs w:val="24"/>
        </w:rPr>
        <w:t xml:space="preserve"> This report provided information on the regulation of prescribing by dentists, medicines available on the PBS for dental use, and an analysis of the utilisation of PBS medicines prescribed by dental practitioners. </w:t>
      </w:r>
    </w:p>
    <w:p w:rsidR="0079098A" w:rsidRPr="0079098A" w:rsidRDefault="0079098A" w:rsidP="0079098A">
      <w:pPr>
        <w:autoSpaceDE w:val="0"/>
        <w:autoSpaceDN w:val="0"/>
        <w:adjustRightInd w:val="0"/>
        <w:contextualSpacing/>
        <w:rPr>
          <w:sz w:val="24"/>
          <w:szCs w:val="24"/>
        </w:rPr>
      </w:pPr>
    </w:p>
    <w:p w:rsidR="00E05CA9" w:rsidRDefault="0079098A" w:rsidP="0079098A">
      <w:pPr>
        <w:autoSpaceDE w:val="0"/>
        <w:autoSpaceDN w:val="0"/>
        <w:adjustRightInd w:val="0"/>
        <w:contextualSpacing/>
        <w:rPr>
          <w:sz w:val="24"/>
          <w:szCs w:val="24"/>
        </w:rPr>
      </w:pPr>
      <w:r w:rsidRPr="0079098A">
        <w:rPr>
          <w:sz w:val="24"/>
          <w:szCs w:val="24"/>
        </w:rPr>
        <w:t xml:space="preserve">Dental practitioners prescribed a very small range of medicines. DUSC noted that 20 medicines accounted for 99% of </w:t>
      </w:r>
      <w:r w:rsidR="00A06FDB">
        <w:rPr>
          <w:sz w:val="24"/>
          <w:szCs w:val="24"/>
        </w:rPr>
        <w:t xml:space="preserve">all dental </w:t>
      </w:r>
      <w:r w:rsidRPr="0079098A">
        <w:rPr>
          <w:sz w:val="24"/>
          <w:szCs w:val="24"/>
        </w:rPr>
        <w:t xml:space="preserve">prescriptions. </w:t>
      </w:r>
    </w:p>
    <w:p w:rsidR="00E05CA9" w:rsidRDefault="00E05CA9" w:rsidP="00EC7AD6">
      <w:pPr>
        <w:autoSpaceDE w:val="0"/>
        <w:autoSpaceDN w:val="0"/>
        <w:adjustRightInd w:val="0"/>
        <w:contextualSpacing/>
        <w:rPr>
          <w:sz w:val="24"/>
          <w:szCs w:val="24"/>
        </w:rPr>
      </w:pPr>
    </w:p>
    <w:p w:rsidR="00E05CA9" w:rsidRDefault="00102579" w:rsidP="00EC7AD6">
      <w:pPr>
        <w:autoSpaceDE w:val="0"/>
        <w:autoSpaceDN w:val="0"/>
        <w:adjustRightInd w:val="0"/>
        <w:contextualSpacing/>
        <w:rPr>
          <w:sz w:val="24"/>
          <w:szCs w:val="24"/>
        </w:rPr>
      </w:pPr>
      <w:r w:rsidRPr="00102579">
        <w:rPr>
          <w:sz w:val="24"/>
          <w:szCs w:val="24"/>
        </w:rPr>
        <w:t>DUSC requested that the report be provided to the Australian Dental Association to assist with dentist education and to the Australian Commission on Safety and Quality in Health Care to inform their work on antimicrobial use.</w:t>
      </w:r>
      <w:r>
        <w:rPr>
          <w:sz w:val="24"/>
          <w:szCs w:val="24"/>
        </w:rPr>
        <w:t xml:space="preserve"> </w:t>
      </w:r>
    </w:p>
    <w:p w:rsidR="00E05CA9" w:rsidRDefault="00E05CA9" w:rsidP="00EC7AD6">
      <w:pPr>
        <w:autoSpaceDE w:val="0"/>
        <w:autoSpaceDN w:val="0"/>
        <w:adjustRightInd w:val="0"/>
        <w:contextualSpacing/>
        <w:rPr>
          <w:sz w:val="24"/>
          <w:szCs w:val="24"/>
        </w:rPr>
      </w:pPr>
    </w:p>
    <w:p w:rsidR="003B30B8" w:rsidRDefault="003B30B8" w:rsidP="00EC7AD6">
      <w:pPr>
        <w:autoSpaceDE w:val="0"/>
        <w:autoSpaceDN w:val="0"/>
        <w:adjustRightInd w:val="0"/>
        <w:contextualSpacing/>
        <w:rPr>
          <w:sz w:val="24"/>
          <w:szCs w:val="24"/>
        </w:rPr>
      </w:pPr>
    </w:p>
    <w:p w:rsidR="00102579" w:rsidRPr="00EC7AD6" w:rsidRDefault="00102579" w:rsidP="00EC7AD6">
      <w:pPr>
        <w:autoSpaceDE w:val="0"/>
        <w:autoSpaceDN w:val="0"/>
        <w:adjustRightInd w:val="0"/>
        <w:contextualSpacing/>
        <w:rPr>
          <w:sz w:val="24"/>
          <w:szCs w:val="24"/>
        </w:rPr>
      </w:pPr>
    </w:p>
    <w:p w:rsidR="00002AE8" w:rsidRDefault="008032DE" w:rsidP="008B6946">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CD1FF1" w:rsidRDefault="00CD1FF1" w:rsidP="008B6946">
      <w:pPr>
        <w:rPr>
          <w:sz w:val="24"/>
          <w:szCs w:val="24"/>
        </w:rPr>
      </w:pPr>
    </w:p>
    <w:p w:rsidR="00002AE8" w:rsidRDefault="00002AE8" w:rsidP="008B6946">
      <w:pPr>
        <w:rPr>
          <w:sz w:val="24"/>
          <w:szCs w:val="24"/>
        </w:rPr>
      </w:pPr>
    </w:p>
    <w:p w:rsidR="002722F2" w:rsidRDefault="002722F2" w:rsidP="008B6946">
      <w:pPr>
        <w:rPr>
          <w:sz w:val="24"/>
          <w:szCs w:val="24"/>
        </w:rPr>
      </w:pPr>
    </w:p>
    <w:p w:rsidR="00543CD8" w:rsidRDefault="00543CD8" w:rsidP="008B6946">
      <w:pPr>
        <w:rPr>
          <w:sz w:val="24"/>
          <w:szCs w:val="24"/>
        </w:rPr>
      </w:pPr>
    </w:p>
    <w:p w:rsidR="00002AE8" w:rsidRDefault="00002AE8" w:rsidP="008B6946">
      <w:pPr>
        <w:rPr>
          <w:sz w:val="24"/>
          <w:szCs w:val="24"/>
        </w:rPr>
      </w:pPr>
      <w:r>
        <w:rPr>
          <w:sz w:val="24"/>
          <w:szCs w:val="24"/>
        </w:rPr>
        <w:t xml:space="preserve">Professor </w:t>
      </w:r>
      <w:r w:rsidR="00473DA7">
        <w:rPr>
          <w:sz w:val="24"/>
          <w:szCs w:val="24"/>
        </w:rPr>
        <w:t>Geoff McColl</w:t>
      </w:r>
      <w:r>
        <w:rPr>
          <w:sz w:val="24"/>
          <w:szCs w:val="24"/>
        </w:rPr>
        <w:tab/>
      </w:r>
      <w:r>
        <w:rPr>
          <w:sz w:val="24"/>
          <w:szCs w:val="24"/>
        </w:rPr>
        <w:tab/>
      </w:r>
      <w:r>
        <w:rPr>
          <w:sz w:val="24"/>
          <w:szCs w:val="24"/>
        </w:rPr>
        <w:tab/>
      </w:r>
    </w:p>
    <w:p w:rsidR="00002AE8" w:rsidRDefault="00002AE8" w:rsidP="008B6946">
      <w:pPr>
        <w:rPr>
          <w:sz w:val="24"/>
          <w:szCs w:val="24"/>
        </w:rPr>
      </w:pPr>
      <w:r>
        <w:rPr>
          <w:sz w:val="24"/>
          <w:szCs w:val="24"/>
        </w:rPr>
        <w:t>Chair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02AE8" w:rsidRPr="003F06C8" w:rsidRDefault="00002AE8" w:rsidP="008B6946">
      <w:pPr>
        <w:rPr>
          <w:sz w:val="24"/>
          <w:szCs w:val="24"/>
        </w:rPr>
      </w:pPr>
      <w:r>
        <w:rPr>
          <w:sz w:val="24"/>
          <w:szCs w:val="24"/>
        </w:rPr>
        <w:t>Drug Utilisation Sub-Committee</w:t>
      </w:r>
      <w:r>
        <w:rPr>
          <w:sz w:val="24"/>
          <w:szCs w:val="24"/>
        </w:rPr>
        <w:tab/>
      </w:r>
      <w:r>
        <w:rPr>
          <w:sz w:val="24"/>
          <w:szCs w:val="24"/>
        </w:rPr>
        <w:tab/>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4B6" w:rsidRDefault="00BE14B6">
      <w:r>
        <w:separator/>
      </w:r>
    </w:p>
  </w:endnote>
  <w:endnote w:type="continuationSeparator" w:id="0">
    <w:p w:rsidR="00BE14B6" w:rsidRDefault="00BE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6826C3">
      <w:rPr>
        <w:noProof/>
      </w:rPr>
      <w:t>4</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6826C3">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4B6" w:rsidRDefault="00BE14B6">
      <w:r>
        <w:separator/>
      </w:r>
    </w:p>
  </w:footnote>
  <w:footnote w:type="continuationSeparator" w:id="0">
    <w:p w:rsidR="00BE14B6" w:rsidRDefault="00BE14B6">
      <w:r>
        <w:continuationSeparator/>
      </w:r>
    </w:p>
  </w:footnote>
  <w:footnote w:id="1">
    <w:p w:rsidR="000F5C42" w:rsidRPr="000F5C42" w:rsidRDefault="000F5C42" w:rsidP="000F5C42">
      <w:pPr>
        <w:pStyle w:val="CommentText"/>
        <w:rPr>
          <w:color w:val="0000FF"/>
          <w:u w:val="single"/>
        </w:rPr>
      </w:pPr>
      <w:r w:rsidRPr="000F5C42">
        <w:rPr>
          <w:rStyle w:val="FootnoteReference"/>
          <w:vertAlign w:val="superscript"/>
        </w:rPr>
        <w:footnoteRef/>
      </w:r>
      <w:r w:rsidRPr="000F5C42">
        <w:rPr>
          <w:vertAlign w:val="superscript"/>
        </w:rPr>
        <w:t xml:space="preserve"> </w:t>
      </w:r>
      <w:r>
        <w:t>June 2013</w:t>
      </w:r>
      <w:r>
        <w:t xml:space="preserve"> Outcome</w:t>
      </w:r>
      <w:r>
        <w:t xml:space="preserve"> Statement:</w:t>
      </w:r>
      <w:r>
        <w:t xml:space="preserve"> </w:t>
      </w:r>
      <w:hyperlink r:id="rId1" w:history="1">
        <w:r w:rsidRPr="00B35561">
          <w:rPr>
            <w:rStyle w:val="Hyperlink"/>
          </w:rPr>
          <w:t>http://www.pbs.gov.au/info/industry/listing/elements/dusc-meetings/dos</w:t>
        </w:r>
      </w:hyperlink>
      <w:r>
        <w:t xml:space="preserve">; February and June 2013 </w:t>
      </w:r>
      <w:r>
        <w:t>DUSC reports:</w:t>
      </w:r>
      <w:r>
        <w:t xml:space="preserve"> </w:t>
      </w:r>
      <w:hyperlink r:id="rId2" w:history="1">
        <w:r w:rsidRPr="00B35561">
          <w:rPr>
            <w:rStyle w:val="Hyperlink"/>
          </w:rPr>
          <w:t>http://www.pbs.gov.au/info/industry/listing/participants/public-release-docs/dusc-public-release-documents-by-medicine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65389013" wp14:editId="45FC21D6">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8B6E94">
      <w:rPr>
        <w:rStyle w:val="Heading1Char"/>
        <w:b/>
      </w:rPr>
      <w:t>29-30 September</w:t>
    </w:r>
    <w:r w:rsidR="00CA78D9">
      <w:rPr>
        <w:rStyle w:val="Heading1Char"/>
        <w:b/>
      </w:rPr>
      <w:t xml:space="preserve"> </w:t>
    </w:r>
    <w:r w:rsidRPr="00CA347D">
      <w:rPr>
        <w:rStyle w:val="Heading1Char"/>
        <w:b/>
      </w:rPr>
      <w:t>201</w:t>
    </w:r>
    <w:r w:rsidR="00CA78D9">
      <w:rPr>
        <w:rStyle w:val="Heading1Char"/>
        <w:b/>
      </w:rPr>
      <w:t>6</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0A"/>
    <w:multiLevelType w:val="hybridMultilevel"/>
    <w:tmpl w:val="CE38B468"/>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011873"/>
    <w:multiLevelType w:val="hybridMultilevel"/>
    <w:tmpl w:val="74626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D345BC"/>
    <w:multiLevelType w:val="hybridMultilevel"/>
    <w:tmpl w:val="F93ADC52"/>
    <w:lvl w:ilvl="0" w:tplc="214497B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8EC5511"/>
    <w:multiLevelType w:val="hybridMultilevel"/>
    <w:tmpl w:val="84F88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F41B33"/>
    <w:multiLevelType w:val="hybridMultilevel"/>
    <w:tmpl w:val="4E3E290A"/>
    <w:lvl w:ilvl="0" w:tplc="BAE0985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667341"/>
    <w:multiLevelType w:val="hybridMultilevel"/>
    <w:tmpl w:val="F3545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23C6B72"/>
    <w:multiLevelType w:val="hybridMultilevel"/>
    <w:tmpl w:val="2318BA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8">
    <w:nsid w:val="38FA0775"/>
    <w:multiLevelType w:val="hybridMultilevel"/>
    <w:tmpl w:val="887A558E"/>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BC529AE"/>
    <w:multiLevelType w:val="hybridMultilevel"/>
    <w:tmpl w:val="04BAAB9A"/>
    <w:lvl w:ilvl="0" w:tplc="39280084">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3">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9B4471F"/>
    <w:multiLevelType w:val="hybridMultilevel"/>
    <w:tmpl w:val="EDC2D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B882A64"/>
    <w:multiLevelType w:val="hybridMultilevel"/>
    <w:tmpl w:val="D6B0C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9">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42">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4">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25"/>
  </w:num>
  <w:num w:numId="4">
    <w:abstractNumId w:val="44"/>
  </w:num>
  <w:num w:numId="5">
    <w:abstractNumId w:val="31"/>
  </w:num>
  <w:num w:numId="6">
    <w:abstractNumId w:val="34"/>
  </w:num>
  <w:num w:numId="7">
    <w:abstractNumId w:val="40"/>
  </w:num>
  <w:num w:numId="8">
    <w:abstractNumId w:val="29"/>
  </w:num>
  <w:num w:numId="9">
    <w:abstractNumId w:val="26"/>
  </w:num>
  <w:num w:numId="10">
    <w:abstractNumId w:val="35"/>
  </w:num>
  <w:num w:numId="11">
    <w:abstractNumId w:val="24"/>
  </w:num>
  <w:num w:numId="12">
    <w:abstractNumId w:val="11"/>
  </w:num>
  <w:num w:numId="13">
    <w:abstractNumId w:val="41"/>
  </w:num>
  <w:num w:numId="14">
    <w:abstractNumId w:val="22"/>
  </w:num>
  <w:num w:numId="15">
    <w:abstractNumId w:val="45"/>
  </w:num>
  <w:num w:numId="16">
    <w:abstractNumId w:val="2"/>
  </w:num>
  <w:num w:numId="17">
    <w:abstractNumId w:val="17"/>
  </w:num>
  <w:num w:numId="18">
    <w:abstractNumId w:val="32"/>
  </w:num>
  <w:num w:numId="19">
    <w:abstractNumId w:val="38"/>
  </w:num>
  <w:num w:numId="20">
    <w:abstractNumId w:val="8"/>
  </w:num>
  <w:num w:numId="21">
    <w:abstractNumId w:val="20"/>
  </w:num>
  <w:num w:numId="22">
    <w:abstractNumId w:val="14"/>
  </w:num>
  <w:num w:numId="23">
    <w:abstractNumId w:val="36"/>
  </w:num>
  <w:num w:numId="24">
    <w:abstractNumId w:val="37"/>
  </w:num>
  <w:num w:numId="25">
    <w:abstractNumId w:val="19"/>
  </w:num>
  <w:num w:numId="26">
    <w:abstractNumId w:val="27"/>
  </w:num>
  <w:num w:numId="27">
    <w:abstractNumId w:val="12"/>
  </w:num>
  <w:num w:numId="28">
    <w:abstractNumId w:val="1"/>
  </w:num>
  <w:num w:numId="29">
    <w:abstractNumId w:val="10"/>
  </w:num>
  <w:num w:numId="30">
    <w:abstractNumId w:val="6"/>
  </w:num>
  <w:num w:numId="31">
    <w:abstractNumId w:val="39"/>
  </w:num>
  <w:num w:numId="32">
    <w:abstractNumId w:val="33"/>
  </w:num>
  <w:num w:numId="33">
    <w:abstractNumId w:val="16"/>
  </w:num>
  <w:num w:numId="34">
    <w:abstractNumId w:val="18"/>
  </w:num>
  <w:num w:numId="35">
    <w:abstractNumId w:val="0"/>
  </w:num>
  <w:num w:numId="36">
    <w:abstractNumId w:val="28"/>
  </w:num>
  <w:num w:numId="37">
    <w:abstractNumId w:val="43"/>
  </w:num>
  <w:num w:numId="38">
    <w:abstractNumId w:val="42"/>
  </w:num>
  <w:num w:numId="39">
    <w:abstractNumId w:val="23"/>
  </w:num>
  <w:num w:numId="40">
    <w:abstractNumId w:val="7"/>
  </w:num>
  <w:num w:numId="41">
    <w:abstractNumId w:val="21"/>
  </w:num>
  <w:num w:numId="42">
    <w:abstractNumId w:val="15"/>
  </w:num>
  <w:num w:numId="43">
    <w:abstractNumId w:val="5"/>
  </w:num>
  <w:num w:numId="44">
    <w:abstractNumId w:val="9"/>
  </w:num>
  <w:num w:numId="45">
    <w:abstractNumId w:val="30"/>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53E4"/>
    <w:rsid w:val="0002613B"/>
    <w:rsid w:val="00026898"/>
    <w:rsid w:val="000304CA"/>
    <w:rsid w:val="000308AD"/>
    <w:rsid w:val="00032252"/>
    <w:rsid w:val="0003541E"/>
    <w:rsid w:val="00047105"/>
    <w:rsid w:val="00054C1A"/>
    <w:rsid w:val="00055BF6"/>
    <w:rsid w:val="00061505"/>
    <w:rsid w:val="00061BD3"/>
    <w:rsid w:val="000701B8"/>
    <w:rsid w:val="00071505"/>
    <w:rsid w:val="0007482C"/>
    <w:rsid w:val="00076E4C"/>
    <w:rsid w:val="00080B21"/>
    <w:rsid w:val="00080FDB"/>
    <w:rsid w:val="0009006A"/>
    <w:rsid w:val="00090474"/>
    <w:rsid w:val="00094597"/>
    <w:rsid w:val="00096B9B"/>
    <w:rsid w:val="0009747E"/>
    <w:rsid w:val="000A02F8"/>
    <w:rsid w:val="000A0713"/>
    <w:rsid w:val="000A13FE"/>
    <w:rsid w:val="000A31AD"/>
    <w:rsid w:val="000A53A6"/>
    <w:rsid w:val="000B14A0"/>
    <w:rsid w:val="000B5448"/>
    <w:rsid w:val="000C1D0B"/>
    <w:rsid w:val="000C58C8"/>
    <w:rsid w:val="000D6712"/>
    <w:rsid w:val="000E18F9"/>
    <w:rsid w:val="000F3387"/>
    <w:rsid w:val="000F5C42"/>
    <w:rsid w:val="000F7CE1"/>
    <w:rsid w:val="00101877"/>
    <w:rsid w:val="00102579"/>
    <w:rsid w:val="001062BB"/>
    <w:rsid w:val="00106A1B"/>
    <w:rsid w:val="001071DA"/>
    <w:rsid w:val="001215D4"/>
    <w:rsid w:val="00121F43"/>
    <w:rsid w:val="001223D1"/>
    <w:rsid w:val="00123237"/>
    <w:rsid w:val="00137CE5"/>
    <w:rsid w:val="00141172"/>
    <w:rsid w:val="00142512"/>
    <w:rsid w:val="00151940"/>
    <w:rsid w:val="00152272"/>
    <w:rsid w:val="001528A6"/>
    <w:rsid w:val="00153667"/>
    <w:rsid w:val="00154D0A"/>
    <w:rsid w:val="00160EF6"/>
    <w:rsid w:val="00166CEB"/>
    <w:rsid w:val="00170E5B"/>
    <w:rsid w:val="00186DD1"/>
    <w:rsid w:val="0018700E"/>
    <w:rsid w:val="001902AC"/>
    <w:rsid w:val="001933E2"/>
    <w:rsid w:val="0019724B"/>
    <w:rsid w:val="001A3F70"/>
    <w:rsid w:val="001A449F"/>
    <w:rsid w:val="001A7B67"/>
    <w:rsid w:val="001B19E3"/>
    <w:rsid w:val="001B2A10"/>
    <w:rsid w:val="001C0316"/>
    <w:rsid w:val="001C5A7B"/>
    <w:rsid w:val="001C61FD"/>
    <w:rsid w:val="001F33DA"/>
    <w:rsid w:val="001F4200"/>
    <w:rsid w:val="001F6850"/>
    <w:rsid w:val="001F7F87"/>
    <w:rsid w:val="00200BA3"/>
    <w:rsid w:val="00203342"/>
    <w:rsid w:val="00203986"/>
    <w:rsid w:val="00211F6D"/>
    <w:rsid w:val="00213EAC"/>
    <w:rsid w:val="002168C1"/>
    <w:rsid w:val="00216CE7"/>
    <w:rsid w:val="00224079"/>
    <w:rsid w:val="00224DF5"/>
    <w:rsid w:val="00230732"/>
    <w:rsid w:val="00235EF9"/>
    <w:rsid w:val="00237631"/>
    <w:rsid w:val="002421EE"/>
    <w:rsid w:val="00242420"/>
    <w:rsid w:val="002522B2"/>
    <w:rsid w:val="0025366B"/>
    <w:rsid w:val="00255919"/>
    <w:rsid w:val="00261915"/>
    <w:rsid w:val="00261ED7"/>
    <w:rsid w:val="0026571A"/>
    <w:rsid w:val="0026645D"/>
    <w:rsid w:val="002722F2"/>
    <w:rsid w:val="00275278"/>
    <w:rsid w:val="00280C05"/>
    <w:rsid w:val="00282C56"/>
    <w:rsid w:val="002862A8"/>
    <w:rsid w:val="002871FC"/>
    <w:rsid w:val="00291D51"/>
    <w:rsid w:val="00292E10"/>
    <w:rsid w:val="00294F3F"/>
    <w:rsid w:val="0029548B"/>
    <w:rsid w:val="002A2FEF"/>
    <w:rsid w:val="002A48D7"/>
    <w:rsid w:val="002A6291"/>
    <w:rsid w:val="002A6A51"/>
    <w:rsid w:val="002B0FD1"/>
    <w:rsid w:val="002B519D"/>
    <w:rsid w:val="002B7EE2"/>
    <w:rsid w:val="002C1B64"/>
    <w:rsid w:val="002D3C76"/>
    <w:rsid w:val="002D3FC7"/>
    <w:rsid w:val="002D516C"/>
    <w:rsid w:val="002D734E"/>
    <w:rsid w:val="002E6F6A"/>
    <w:rsid w:val="002E7CA2"/>
    <w:rsid w:val="002F131D"/>
    <w:rsid w:val="002F281B"/>
    <w:rsid w:val="002F6C13"/>
    <w:rsid w:val="002F7138"/>
    <w:rsid w:val="003026E0"/>
    <w:rsid w:val="00307F20"/>
    <w:rsid w:val="00312E8E"/>
    <w:rsid w:val="00313FED"/>
    <w:rsid w:val="00325C25"/>
    <w:rsid w:val="0032620A"/>
    <w:rsid w:val="0033439A"/>
    <w:rsid w:val="003361C9"/>
    <w:rsid w:val="00337241"/>
    <w:rsid w:val="003409D6"/>
    <w:rsid w:val="003468B6"/>
    <w:rsid w:val="003512F6"/>
    <w:rsid w:val="0035266E"/>
    <w:rsid w:val="00352D12"/>
    <w:rsid w:val="003555E8"/>
    <w:rsid w:val="00357332"/>
    <w:rsid w:val="0035787B"/>
    <w:rsid w:val="00362581"/>
    <w:rsid w:val="00371376"/>
    <w:rsid w:val="0037338E"/>
    <w:rsid w:val="0037748E"/>
    <w:rsid w:val="00377CBD"/>
    <w:rsid w:val="00385962"/>
    <w:rsid w:val="003860EB"/>
    <w:rsid w:val="003917EE"/>
    <w:rsid w:val="00395B29"/>
    <w:rsid w:val="003A4887"/>
    <w:rsid w:val="003A6327"/>
    <w:rsid w:val="003B1842"/>
    <w:rsid w:val="003B30B8"/>
    <w:rsid w:val="003B644D"/>
    <w:rsid w:val="003B7122"/>
    <w:rsid w:val="003C0453"/>
    <w:rsid w:val="003C3E03"/>
    <w:rsid w:val="003C5342"/>
    <w:rsid w:val="003C7822"/>
    <w:rsid w:val="003D0574"/>
    <w:rsid w:val="003D62AA"/>
    <w:rsid w:val="003D6C07"/>
    <w:rsid w:val="003E1ED8"/>
    <w:rsid w:val="003E601F"/>
    <w:rsid w:val="003F06C8"/>
    <w:rsid w:val="003F1DCA"/>
    <w:rsid w:val="00405743"/>
    <w:rsid w:val="00406FC4"/>
    <w:rsid w:val="00415BE7"/>
    <w:rsid w:val="0042032E"/>
    <w:rsid w:val="0042129E"/>
    <w:rsid w:val="00421874"/>
    <w:rsid w:val="00423C42"/>
    <w:rsid w:val="004374C3"/>
    <w:rsid w:val="0044076B"/>
    <w:rsid w:val="00445679"/>
    <w:rsid w:val="00451ABF"/>
    <w:rsid w:val="004521E9"/>
    <w:rsid w:val="004566A9"/>
    <w:rsid w:val="00461EAF"/>
    <w:rsid w:val="00463497"/>
    <w:rsid w:val="00463B7E"/>
    <w:rsid w:val="00465EED"/>
    <w:rsid w:val="00466242"/>
    <w:rsid w:val="00471240"/>
    <w:rsid w:val="00473DA7"/>
    <w:rsid w:val="0047415B"/>
    <w:rsid w:val="00477B65"/>
    <w:rsid w:val="004839FE"/>
    <w:rsid w:val="00487B49"/>
    <w:rsid w:val="0049330F"/>
    <w:rsid w:val="0049403E"/>
    <w:rsid w:val="00496AC8"/>
    <w:rsid w:val="004A055D"/>
    <w:rsid w:val="004B07E1"/>
    <w:rsid w:val="004B37DD"/>
    <w:rsid w:val="004B41AC"/>
    <w:rsid w:val="004B4E02"/>
    <w:rsid w:val="004C01CD"/>
    <w:rsid w:val="004C3CFD"/>
    <w:rsid w:val="004C7FA9"/>
    <w:rsid w:val="004D0311"/>
    <w:rsid w:val="004D75BE"/>
    <w:rsid w:val="004F083B"/>
    <w:rsid w:val="004F17CC"/>
    <w:rsid w:val="004F201C"/>
    <w:rsid w:val="004F60E0"/>
    <w:rsid w:val="004F6927"/>
    <w:rsid w:val="00512CE1"/>
    <w:rsid w:val="0051701B"/>
    <w:rsid w:val="00525347"/>
    <w:rsid w:val="0052725D"/>
    <w:rsid w:val="005317C8"/>
    <w:rsid w:val="00536FAF"/>
    <w:rsid w:val="00540349"/>
    <w:rsid w:val="005414F3"/>
    <w:rsid w:val="00543CD8"/>
    <w:rsid w:val="00546A61"/>
    <w:rsid w:val="00550B68"/>
    <w:rsid w:val="00554F00"/>
    <w:rsid w:val="00554F6F"/>
    <w:rsid w:val="00556042"/>
    <w:rsid w:val="0056289C"/>
    <w:rsid w:val="005646E2"/>
    <w:rsid w:val="005659FC"/>
    <w:rsid w:val="00566D78"/>
    <w:rsid w:val="00570796"/>
    <w:rsid w:val="00576201"/>
    <w:rsid w:val="00584E81"/>
    <w:rsid w:val="00584E98"/>
    <w:rsid w:val="0058750D"/>
    <w:rsid w:val="00590036"/>
    <w:rsid w:val="00593298"/>
    <w:rsid w:val="00594A71"/>
    <w:rsid w:val="00595475"/>
    <w:rsid w:val="005A1F05"/>
    <w:rsid w:val="005A4F6D"/>
    <w:rsid w:val="005B0558"/>
    <w:rsid w:val="005C053B"/>
    <w:rsid w:val="005C148E"/>
    <w:rsid w:val="005D1BB0"/>
    <w:rsid w:val="005D4EB2"/>
    <w:rsid w:val="005D696D"/>
    <w:rsid w:val="005E116A"/>
    <w:rsid w:val="005E1E28"/>
    <w:rsid w:val="005E4D8D"/>
    <w:rsid w:val="005E71D4"/>
    <w:rsid w:val="005F20C5"/>
    <w:rsid w:val="005F20FE"/>
    <w:rsid w:val="005F3EF0"/>
    <w:rsid w:val="0060015D"/>
    <w:rsid w:val="00602B28"/>
    <w:rsid w:val="00602DC3"/>
    <w:rsid w:val="00603A1E"/>
    <w:rsid w:val="00605905"/>
    <w:rsid w:val="00605D9C"/>
    <w:rsid w:val="006118CB"/>
    <w:rsid w:val="006146D0"/>
    <w:rsid w:val="00622522"/>
    <w:rsid w:val="006231FB"/>
    <w:rsid w:val="0062459E"/>
    <w:rsid w:val="00635EA5"/>
    <w:rsid w:val="006431B8"/>
    <w:rsid w:val="00645035"/>
    <w:rsid w:val="00651A8E"/>
    <w:rsid w:val="00667381"/>
    <w:rsid w:val="00670BD6"/>
    <w:rsid w:val="006723D5"/>
    <w:rsid w:val="00676304"/>
    <w:rsid w:val="00677B98"/>
    <w:rsid w:val="006826C3"/>
    <w:rsid w:val="006878A3"/>
    <w:rsid w:val="006946E1"/>
    <w:rsid w:val="00695073"/>
    <w:rsid w:val="00695BF3"/>
    <w:rsid w:val="006969FE"/>
    <w:rsid w:val="006B1CD8"/>
    <w:rsid w:val="006B33A6"/>
    <w:rsid w:val="006B3D40"/>
    <w:rsid w:val="006B5BFA"/>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4FED"/>
    <w:rsid w:val="00706AF7"/>
    <w:rsid w:val="0071514B"/>
    <w:rsid w:val="0071558A"/>
    <w:rsid w:val="00715E10"/>
    <w:rsid w:val="007166A9"/>
    <w:rsid w:val="00722564"/>
    <w:rsid w:val="0072634E"/>
    <w:rsid w:val="00735BBE"/>
    <w:rsid w:val="0073626D"/>
    <w:rsid w:val="0074244E"/>
    <w:rsid w:val="00747495"/>
    <w:rsid w:val="00753580"/>
    <w:rsid w:val="00753AE8"/>
    <w:rsid w:val="00753D42"/>
    <w:rsid w:val="00755BF3"/>
    <w:rsid w:val="00761116"/>
    <w:rsid w:val="00766D92"/>
    <w:rsid w:val="0079098A"/>
    <w:rsid w:val="00792D24"/>
    <w:rsid w:val="007A025D"/>
    <w:rsid w:val="007A1C91"/>
    <w:rsid w:val="007A5016"/>
    <w:rsid w:val="007B10CC"/>
    <w:rsid w:val="007B45CE"/>
    <w:rsid w:val="007C0BB4"/>
    <w:rsid w:val="007C4B1F"/>
    <w:rsid w:val="007D29DA"/>
    <w:rsid w:val="007D3A05"/>
    <w:rsid w:val="007D4108"/>
    <w:rsid w:val="007D53F5"/>
    <w:rsid w:val="007E0FFA"/>
    <w:rsid w:val="007E45EB"/>
    <w:rsid w:val="007F03B3"/>
    <w:rsid w:val="007F224E"/>
    <w:rsid w:val="008032CF"/>
    <w:rsid w:val="008032DE"/>
    <w:rsid w:val="00806FF3"/>
    <w:rsid w:val="00812097"/>
    <w:rsid w:val="00812A58"/>
    <w:rsid w:val="00812E43"/>
    <w:rsid w:val="00813C07"/>
    <w:rsid w:val="008226BA"/>
    <w:rsid w:val="008232E9"/>
    <w:rsid w:val="00824D2F"/>
    <w:rsid w:val="00825E26"/>
    <w:rsid w:val="00834AC0"/>
    <w:rsid w:val="0084274F"/>
    <w:rsid w:val="00844137"/>
    <w:rsid w:val="008443DF"/>
    <w:rsid w:val="00851077"/>
    <w:rsid w:val="00855B59"/>
    <w:rsid w:val="00861B30"/>
    <w:rsid w:val="00885679"/>
    <w:rsid w:val="00886FF7"/>
    <w:rsid w:val="00887242"/>
    <w:rsid w:val="008909B5"/>
    <w:rsid w:val="008933AA"/>
    <w:rsid w:val="00893956"/>
    <w:rsid w:val="008952FA"/>
    <w:rsid w:val="008A17E6"/>
    <w:rsid w:val="008A271D"/>
    <w:rsid w:val="008A27C1"/>
    <w:rsid w:val="008A5C6B"/>
    <w:rsid w:val="008B25F5"/>
    <w:rsid w:val="008B44FC"/>
    <w:rsid w:val="008B6054"/>
    <w:rsid w:val="008B6946"/>
    <w:rsid w:val="008B6E94"/>
    <w:rsid w:val="008C1C17"/>
    <w:rsid w:val="008C2829"/>
    <w:rsid w:val="008C28B4"/>
    <w:rsid w:val="008E66D2"/>
    <w:rsid w:val="008E7888"/>
    <w:rsid w:val="008E7C67"/>
    <w:rsid w:val="008F1340"/>
    <w:rsid w:val="008F4AB2"/>
    <w:rsid w:val="008F7F63"/>
    <w:rsid w:val="00910BE5"/>
    <w:rsid w:val="009112F4"/>
    <w:rsid w:val="00911959"/>
    <w:rsid w:val="00913F15"/>
    <w:rsid w:val="00915D6E"/>
    <w:rsid w:val="009168AA"/>
    <w:rsid w:val="009230A9"/>
    <w:rsid w:val="009237FF"/>
    <w:rsid w:val="009245B3"/>
    <w:rsid w:val="00926116"/>
    <w:rsid w:val="009307DE"/>
    <w:rsid w:val="00933D66"/>
    <w:rsid w:val="00940287"/>
    <w:rsid w:val="009427BA"/>
    <w:rsid w:val="0094562D"/>
    <w:rsid w:val="00965552"/>
    <w:rsid w:val="0096600D"/>
    <w:rsid w:val="0096605A"/>
    <w:rsid w:val="00982C4C"/>
    <w:rsid w:val="00990492"/>
    <w:rsid w:val="009950E1"/>
    <w:rsid w:val="00997DB5"/>
    <w:rsid w:val="009A22C0"/>
    <w:rsid w:val="009C32BA"/>
    <w:rsid w:val="009C4D57"/>
    <w:rsid w:val="009C5FCE"/>
    <w:rsid w:val="009C6EB1"/>
    <w:rsid w:val="009D1661"/>
    <w:rsid w:val="009D1C4B"/>
    <w:rsid w:val="009D3B7F"/>
    <w:rsid w:val="009D71B6"/>
    <w:rsid w:val="009E130A"/>
    <w:rsid w:val="009E13E7"/>
    <w:rsid w:val="009E18B1"/>
    <w:rsid w:val="009E23F2"/>
    <w:rsid w:val="009F37E6"/>
    <w:rsid w:val="009F5D71"/>
    <w:rsid w:val="00A02C13"/>
    <w:rsid w:val="00A06FDB"/>
    <w:rsid w:val="00A1378E"/>
    <w:rsid w:val="00A140B4"/>
    <w:rsid w:val="00A20CBD"/>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75CE9"/>
    <w:rsid w:val="00A8138B"/>
    <w:rsid w:val="00A85479"/>
    <w:rsid w:val="00A96763"/>
    <w:rsid w:val="00AB2981"/>
    <w:rsid w:val="00AC6543"/>
    <w:rsid w:val="00AD405E"/>
    <w:rsid w:val="00AD61AC"/>
    <w:rsid w:val="00AE0098"/>
    <w:rsid w:val="00AE2C4F"/>
    <w:rsid w:val="00AE46E7"/>
    <w:rsid w:val="00AE5D15"/>
    <w:rsid w:val="00AE7D19"/>
    <w:rsid w:val="00AF1FCD"/>
    <w:rsid w:val="00AF54A2"/>
    <w:rsid w:val="00AF646A"/>
    <w:rsid w:val="00B0144A"/>
    <w:rsid w:val="00B171C5"/>
    <w:rsid w:val="00B17B4F"/>
    <w:rsid w:val="00B20269"/>
    <w:rsid w:val="00B25209"/>
    <w:rsid w:val="00B2765B"/>
    <w:rsid w:val="00B41D14"/>
    <w:rsid w:val="00B471D0"/>
    <w:rsid w:val="00B47E46"/>
    <w:rsid w:val="00B51A8A"/>
    <w:rsid w:val="00B529E3"/>
    <w:rsid w:val="00B54AC5"/>
    <w:rsid w:val="00B54D25"/>
    <w:rsid w:val="00B73EC0"/>
    <w:rsid w:val="00B748A3"/>
    <w:rsid w:val="00B83E80"/>
    <w:rsid w:val="00B8425D"/>
    <w:rsid w:val="00B94D51"/>
    <w:rsid w:val="00B94E75"/>
    <w:rsid w:val="00BA0109"/>
    <w:rsid w:val="00BA1DAB"/>
    <w:rsid w:val="00BA3D51"/>
    <w:rsid w:val="00BB08CB"/>
    <w:rsid w:val="00BB0CB8"/>
    <w:rsid w:val="00BB2314"/>
    <w:rsid w:val="00BC71C3"/>
    <w:rsid w:val="00BD606B"/>
    <w:rsid w:val="00BE14B6"/>
    <w:rsid w:val="00BE7AE1"/>
    <w:rsid w:val="00BF1645"/>
    <w:rsid w:val="00BF1F11"/>
    <w:rsid w:val="00BF5017"/>
    <w:rsid w:val="00BF5B1D"/>
    <w:rsid w:val="00BF7B3F"/>
    <w:rsid w:val="00BF7E3D"/>
    <w:rsid w:val="00C04EF5"/>
    <w:rsid w:val="00C05DF1"/>
    <w:rsid w:val="00C071EA"/>
    <w:rsid w:val="00C10F2E"/>
    <w:rsid w:val="00C116AA"/>
    <w:rsid w:val="00C1278B"/>
    <w:rsid w:val="00C14149"/>
    <w:rsid w:val="00C17CD9"/>
    <w:rsid w:val="00C201AF"/>
    <w:rsid w:val="00C20C99"/>
    <w:rsid w:val="00C34468"/>
    <w:rsid w:val="00C372F8"/>
    <w:rsid w:val="00C37A17"/>
    <w:rsid w:val="00C43937"/>
    <w:rsid w:val="00C4627A"/>
    <w:rsid w:val="00C5080C"/>
    <w:rsid w:val="00C517B0"/>
    <w:rsid w:val="00C53506"/>
    <w:rsid w:val="00C5386C"/>
    <w:rsid w:val="00C6282E"/>
    <w:rsid w:val="00C65ECB"/>
    <w:rsid w:val="00C70D16"/>
    <w:rsid w:val="00C720BE"/>
    <w:rsid w:val="00C72A99"/>
    <w:rsid w:val="00C750B3"/>
    <w:rsid w:val="00C77308"/>
    <w:rsid w:val="00C814DC"/>
    <w:rsid w:val="00C83918"/>
    <w:rsid w:val="00C844E5"/>
    <w:rsid w:val="00C96777"/>
    <w:rsid w:val="00CA1100"/>
    <w:rsid w:val="00CA1A98"/>
    <w:rsid w:val="00CA1AA9"/>
    <w:rsid w:val="00CA347D"/>
    <w:rsid w:val="00CA6D48"/>
    <w:rsid w:val="00CA78D9"/>
    <w:rsid w:val="00CB1889"/>
    <w:rsid w:val="00CC4F1F"/>
    <w:rsid w:val="00CD1FF1"/>
    <w:rsid w:val="00CD3D32"/>
    <w:rsid w:val="00CD4F83"/>
    <w:rsid w:val="00CD748A"/>
    <w:rsid w:val="00CE106A"/>
    <w:rsid w:val="00CE2E5D"/>
    <w:rsid w:val="00CE3022"/>
    <w:rsid w:val="00CE505F"/>
    <w:rsid w:val="00CF2E8F"/>
    <w:rsid w:val="00CF773D"/>
    <w:rsid w:val="00D03704"/>
    <w:rsid w:val="00D06634"/>
    <w:rsid w:val="00D06EDB"/>
    <w:rsid w:val="00D14024"/>
    <w:rsid w:val="00D144A5"/>
    <w:rsid w:val="00D16502"/>
    <w:rsid w:val="00D23DEB"/>
    <w:rsid w:val="00D26F01"/>
    <w:rsid w:val="00D36D8C"/>
    <w:rsid w:val="00D37EA6"/>
    <w:rsid w:val="00D412C9"/>
    <w:rsid w:val="00D51FE0"/>
    <w:rsid w:val="00D55ED4"/>
    <w:rsid w:val="00D562AF"/>
    <w:rsid w:val="00D5726A"/>
    <w:rsid w:val="00D573C4"/>
    <w:rsid w:val="00D61A07"/>
    <w:rsid w:val="00D716A5"/>
    <w:rsid w:val="00D71C86"/>
    <w:rsid w:val="00D75023"/>
    <w:rsid w:val="00D75B8D"/>
    <w:rsid w:val="00D776E5"/>
    <w:rsid w:val="00D801D7"/>
    <w:rsid w:val="00D92B61"/>
    <w:rsid w:val="00D960D9"/>
    <w:rsid w:val="00DA019E"/>
    <w:rsid w:val="00DA0C9B"/>
    <w:rsid w:val="00DA3B72"/>
    <w:rsid w:val="00DA5030"/>
    <w:rsid w:val="00DA52B0"/>
    <w:rsid w:val="00DA5928"/>
    <w:rsid w:val="00DA7DAC"/>
    <w:rsid w:val="00DB34F7"/>
    <w:rsid w:val="00DB40BE"/>
    <w:rsid w:val="00DB4645"/>
    <w:rsid w:val="00DB4B02"/>
    <w:rsid w:val="00DB5E1F"/>
    <w:rsid w:val="00DB7938"/>
    <w:rsid w:val="00DC35B0"/>
    <w:rsid w:val="00DC5383"/>
    <w:rsid w:val="00DC669D"/>
    <w:rsid w:val="00DC76E4"/>
    <w:rsid w:val="00DD3F56"/>
    <w:rsid w:val="00DD472F"/>
    <w:rsid w:val="00DD6C98"/>
    <w:rsid w:val="00DE2F42"/>
    <w:rsid w:val="00DE3430"/>
    <w:rsid w:val="00DE3FA2"/>
    <w:rsid w:val="00DE465A"/>
    <w:rsid w:val="00DE49A5"/>
    <w:rsid w:val="00DE6DED"/>
    <w:rsid w:val="00DF6D10"/>
    <w:rsid w:val="00E013AC"/>
    <w:rsid w:val="00E02342"/>
    <w:rsid w:val="00E05CA9"/>
    <w:rsid w:val="00E069B9"/>
    <w:rsid w:val="00E06E1E"/>
    <w:rsid w:val="00E1073E"/>
    <w:rsid w:val="00E13E1F"/>
    <w:rsid w:val="00E15343"/>
    <w:rsid w:val="00E15D96"/>
    <w:rsid w:val="00E202D8"/>
    <w:rsid w:val="00E21AB6"/>
    <w:rsid w:val="00E25B12"/>
    <w:rsid w:val="00E358B8"/>
    <w:rsid w:val="00E35E50"/>
    <w:rsid w:val="00E42DD2"/>
    <w:rsid w:val="00E440D2"/>
    <w:rsid w:val="00E44900"/>
    <w:rsid w:val="00E46594"/>
    <w:rsid w:val="00E47551"/>
    <w:rsid w:val="00E51946"/>
    <w:rsid w:val="00E5392E"/>
    <w:rsid w:val="00E57443"/>
    <w:rsid w:val="00E60246"/>
    <w:rsid w:val="00E606DC"/>
    <w:rsid w:val="00E63B16"/>
    <w:rsid w:val="00E63C49"/>
    <w:rsid w:val="00E63C9A"/>
    <w:rsid w:val="00E855DB"/>
    <w:rsid w:val="00E929BF"/>
    <w:rsid w:val="00E9717F"/>
    <w:rsid w:val="00EA266C"/>
    <w:rsid w:val="00EA4A72"/>
    <w:rsid w:val="00EA4C8E"/>
    <w:rsid w:val="00EA6068"/>
    <w:rsid w:val="00EA6638"/>
    <w:rsid w:val="00EB6D4F"/>
    <w:rsid w:val="00EC188E"/>
    <w:rsid w:val="00EC27B1"/>
    <w:rsid w:val="00EC4D9B"/>
    <w:rsid w:val="00EC7AD6"/>
    <w:rsid w:val="00ED1541"/>
    <w:rsid w:val="00ED262E"/>
    <w:rsid w:val="00ED4688"/>
    <w:rsid w:val="00ED55CD"/>
    <w:rsid w:val="00EF17AE"/>
    <w:rsid w:val="00EF2F88"/>
    <w:rsid w:val="00EF43E9"/>
    <w:rsid w:val="00EF6034"/>
    <w:rsid w:val="00F00711"/>
    <w:rsid w:val="00F00BA6"/>
    <w:rsid w:val="00F0120B"/>
    <w:rsid w:val="00F02D45"/>
    <w:rsid w:val="00F05674"/>
    <w:rsid w:val="00F07DC7"/>
    <w:rsid w:val="00F1203C"/>
    <w:rsid w:val="00F22B3B"/>
    <w:rsid w:val="00F24AD2"/>
    <w:rsid w:val="00F254F2"/>
    <w:rsid w:val="00F256FA"/>
    <w:rsid w:val="00F31CBF"/>
    <w:rsid w:val="00F328A6"/>
    <w:rsid w:val="00F33165"/>
    <w:rsid w:val="00F36509"/>
    <w:rsid w:val="00F429AA"/>
    <w:rsid w:val="00F45B22"/>
    <w:rsid w:val="00F50775"/>
    <w:rsid w:val="00F52BA8"/>
    <w:rsid w:val="00F5721A"/>
    <w:rsid w:val="00F57CF8"/>
    <w:rsid w:val="00F64BDE"/>
    <w:rsid w:val="00F66C36"/>
    <w:rsid w:val="00F70D3F"/>
    <w:rsid w:val="00F7236A"/>
    <w:rsid w:val="00F747BC"/>
    <w:rsid w:val="00F7563D"/>
    <w:rsid w:val="00F776DD"/>
    <w:rsid w:val="00F77C55"/>
    <w:rsid w:val="00F8217A"/>
    <w:rsid w:val="00F85AC0"/>
    <w:rsid w:val="00F85C3D"/>
    <w:rsid w:val="00F97C51"/>
    <w:rsid w:val="00FA1200"/>
    <w:rsid w:val="00FA149F"/>
    <w:rsid w:val="00FA2C8E"/>
    <w:rsid w:val="00FA5657"/>
    <w:rsid w:val="00FB02FC"/>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bs.gov.au/" TargetMode="External"/><Relationship Id="rId4" Type="http://schemas.microsoft.com/office/2007/relationships/stylesWithEffects" Target="stylesWithEffects.xml"/><Relationship Id="rId9" Type="http://schemas.openxmlformats.org/officeDocument/2006/relationships/hyperlink" Target="http://www.pbs.gov.au/pbs/industry/listing/elements/pbac-meetings/agenda/11-201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industry/listing/participants/public-release-docs/dusc-public-release-documents-by-medicine" TargetMode="External"/><Relationship Id="rId1" Type="http://schemas.openxmlformats.org/officeDocument/2006/relationships/hyperlink" Target="http://www.pbs.gov.au/info/industry/listing/elements/dusc-meetings/d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F81A-2BEE-4C25-8711-1FD85F2D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23FCA5F5.dotm</Template>
  <TotalTime>0</TotalTime>
  <Pages>4</Pages>
  <Words>1467</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9835</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2016-10-21T00:59:00Z</dcterms:created>
  <dcterms:modified xsi:type="dcterms:W3CDTF">2016-10-25T01:03:00Z</dcterms:modified>
</cp:coreProperties>
</file>