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75" w:rsidRPr="002A2194" w:rsidRDefault="00732A75" w:rsidP="002A2194">
      <w:pPr>
        <w:pStyle w:val="Title"/>
        <w:jc w:val="center"/>
        <w:rPr>
          <w:rFonts w:ascii="Arial" w:hAnsi="Arial" w:cs="Arial"/>
          <w:color w:val="auto"/>
          <w:sz w:val="72"/>
          <w:szCs w:val="72"/>
        </w:rPr>
      </w:pPr>
      <w:bookmarkStart w:id="0" w:name="_GoBack"/>
      <w:bookmarkEnd w:id="0"/>
      <w:r w:rsidRPr="002A2194">
        <w:rPr>
          <w:rFonts w:ascii="Arial" w:hAnsi="Arial" w:cs="Arial"/>
          <w:color w:val="auto"/>
          <w:sz w:val="72"/>
          <w:szCs w:val="72"/>
        </w:rPr>
        <w:t>BI</w:t>
      </w:r>
      <w:r w:rsidRPr="002A2194">
        <w:rPr>
          <w:rFonts w:ascii="Arial" w:hAnsi="Arial" w:cs="Arial"/>
          <w:color w:val="auto"/>
          <w:spacing w:val="-23"/>
          <w:sz w:val="72"/>
          <w:szCs w:val="72"/>
        </w:rPr>
        <w:t>O</w:t>
      </w:r>
      <w:r w:rsidRPr="002A2194">
        <w:rPr>
          <w:rFonts w:ascii="Arial" w:hAnsi="Arial" w:cs="Arial"/>
          <w:color w:val="auto"/>
          <w:spacing w:val="-19"/>
          <w:sz w:val="72"/>
          <w:szCs w:val="72"/>
        </w:rPr>
        <w:t>S</w:t>
      </w:r>
      <w:r w:rsidRPr="002A2194">
        <w:rPr>
          <w:rFonts w:ascii="Arial" w:hAnsi="Arial" w:cs="Arial"/>
          <w:color w:val="auto"/>
          <w:sz w:val="72"/>
          <w:szCs w:val="72"/>
        </w:rPr>
        <w:t>I</w:t>
      </w:r>
      <w:r w:rsidRPr="002A2194">
        <w:rPr>
          <w:rFonts w:ascii="Arial" w:hAnsi="Arial" w:cs="Arial"/>
          <w:color w:val="auto"/>
          <w:spacing w:val="-20"/>
          <w:sz w:val="72"/>
          <w:szCs w:val="72"/>
        </w:rPr>
        <w:t>M</w:t>
      </w:r>
      <w:r w:rsidRPr="002A2194">
        <w:rPr>
          <w:rFonts w:ascii="Arial" w:hAnsi="Arial" w:cs="Arial"/>
          <w:color w:val="auto"/>
          <w:sz w:val="72"/>
          <w:szCs w:val="72"/>
        </w:rPr>
        <w:t>I</w:t>
      </w:r>
      <w:r w:rsidRPr="002A2194">
        <w:rPr>
          <w:rFonts w:ascii="Arial" w:hAnsi="Arial" w:cs="Arial"/>
          <w:color w:val="auto"/>
          <w:spacing w:val="-22"/>
          <w:sz w:val="72"/>
          <w:szCs w:val="72"/>
        </w:rPr>
        <w:t>L</w:t>
      </w:r>
      <w:r w:rsidRPr="002A2194">
        <w:rPr>
          <w:rFonts w:ascii="Arial" w:hAnsi="Arial" w:cs="Arial"/>
          <w:color w:val="auto"/>
          <w:spacing w:val="-40"/>
          <w:sz w:val="72"/>
          <w:szCs w:val="72"/>
        </w:rPr>
        <w:t>A</w:t>
      </w:r>
      <w:r w:rsidRPr="002A2194">
        <w:rPr>
          <w:rFonts w:ascii="Arial" w:hAnsi="Arial" w:cs="Arial"/>
          <w:color w:val="auto"/>
          <w:sz w:val="72"/>
          <w:szCs w:val="72"/>
        </w:rPr>
        <w:t>RS</w:t>
      </w:r>
      <w:r w:rsidRPr="002A2194">
        <w:rPr>
          <w:rFonts w:ascii="Arial" w:hAnsi="Arial" w:cs="Arial"/>
          <w:color w:val="auto"/>
          <w:spacing w:val="-84"/>
          <w:sz w:val="72"/>
          <w:szCs w:val="72"/>
        </w:rPr>
        <w:t xml:space="preserve"> </w:t>
      </w:r>
      <w:r w:rsidRPr="002A2194">
        <w:rPr>
          <w:rFonts w:ascii="Arial" w:hAnsi="Arial" w:cs="Arial"/>
          <w:color w:val="auto"/>
          <w:spacing w:val="-74"/>
          <w:sz w:val="72"/>
          <w:szCs w:val="72"/>
        </w:rPr>
        <w:t>A</w:t>
      </w:r>
      <w:r w:rsidRPr="002A2194">
        <w:rPr>
          <w:rFonts w:ascii="Arial" w:hAnsi="Arial" w:cs="Arial"/>
          <w:color w:val="auto"/>
          <w:spacing w:val="-47"/>
          <w:sz w:val="72"/>
          <w:szCs w:val="72"/>
        </w:rPr>
        <w:t>W</w:t>
      </w:r>
      <w:r w:rsidRPr="002A2194">
        <w:rPr>
          <w:rFonts w:ascii="Arial" w:hAnsi="Arial" w:cs="Arial"/>
          <w:color w:val="auto"/>
          <w:spacing w:val="-30"/>
          <w:sz w:val="72"/>
          <w:szCs w:val="72"/>
        </w:rPr>
        <w:t>A</w:t>
      </w:r>
      <w:r w:rsidRPr="002A2194">
        <w:rPr>
          <w:rFonts w:ascii="Arial" w:hAnsi="Arial" w:cs="Arial"/>
          <w:color w:val="auto"/>
          <w:sz w:val="72"/>
          <w:szCs w:val="72"/>
        </w:rPr>
        <w:t>R</w:t>
      </w:r>
      <w:r w:rsidRPr="002A2194">
        <w:rPr>
          <w:rFonts w:ascii="Arial" w:hAnsi="Arial" w:cs="Arial"/>
          <w:color w:val="auto"/>
          <w:spacing w:val="-19"/>
          <w:sz w:val="72"/>
          <w:szCs w:val="72"/>
        </w:rPr>
        <w:t>E</w:t>
      </w:r>
      <w:r w:rsidRPr="002A2194">
        <w:rPr>
          <w:rFonts w:ascii="Arial" w:hAnsi="Arial" w:cs="Arial"/>
          <w:color w:val="auto"/>
          <w:sz w:val="72"/>
          <w:szCs w:val="72"/>
        </w:rPr>
        <w:t>N</w:t>
      </w:r>
      <w:r w:rsidRPr="002A2194">
        <w:rPr>
          <w:rFonts w:ascii="Arial" w:hAnsi="Arial" w:cs="Arial"/>
          <w:color w:val="auto"/>
          <w:spacing w:val="-19"/>
          <w:sz w:val="72"/>
          <w:szCs w:val="72"/>
        </w:rPr>
        <w:t>ES</w:t>
      </w:r>
      <w:r w:rsidRPr="002A2194">
        <w:rPr>
          <w:rFonts w:ascii="Arial" w:hAnsi="Arial" w:cs="Arial"/>
          <w:color w:val="auto"/>
          <w:sz w:val="72"/>
          <w:szCs w:val="72"/>
        </w:rPr>
        <w:t>S</w:t>
      </w:r>
      <w:r w:rsidRPr="002A2194">
        <w:rPr>
          <w:rFonts w:ascii="Arial" w:hAnsi="Arial" w:cs="Arial"/>
          <w:color w:val="auto"/>
          <w:spacing w:val="-68"/>
          <w:sz w:val="72"/>
          <w:szCs w:val="72"/>
        </w:rPr>
        <w:t xml:space="preserve"> </w:t>
      </w:r>
      <w:r w:rsidRPr="002A2194">
        <w:rPr>
          <w:rFonts w:ascii="Arial" w:hAnsi="Arial" w:cs="Arial"/>
          <w:color w:val="auto"/>
          <w:spacing w:val="-20"/>
          <w:sz w:val="72"/>
          <w:szCs w:val="72"/>
        </w:rPr>
        <w:t>I</w:t>
      </w:r>
      <w:r w:rsidRPr="002A2194">
        <w:rPr>
          <w:rFonts w:ascii="Arial" w:hAnsi="Arial" w:cs="Arial"/>
          <w:color w:val="auto"/>
          <w:sz w:val="72"/>
          <w:szCs w:val="72"/>
        </w:rPr>
        <w:t>NI</w:t>
      </w:r>
      <w:r w:rsidRPr="002A2194">
        <w:rPr>
          <w:rFonts w:ascii="Arial" w:hAnsi="Arial" w:cs="Arial"/>
          <w:color w:val="auto"/>
          <w:spacing w:val="-22"/>
          <w:sz w:val="72"/>
          <w:szCs w:val="72"/>
        </w:rPr>
        <w:t>T</w:t>
      </w:r>
      <w:r w:rsidRPr="002A2194">
        <w:rPr>
          <w:rFonts w:ascii="Arial" w:hAnsi="Arial" w:cs="Arial"/>
          <w:color w:val="auto"/>
          <w:sz w:val="72"/>
          <w:szCs w:val="72"/>
        </w:rPr>
        <w:t>I</w:t>
      </w:r>
      <w:r w:rsidRPr="002A2194">
        <w:rPr>
          <w:rFonts w:ascii="Arial" w:hAnsi="Arial" w:cs="Arial"/>
          <w:color w:val="auto"/>
          <w:spacing w:val="-88"/>
          <w:sz w:val="72"/>
          <w:szCs w:val="72"/>
        </w:rPr>
        <w:t>A</w:t>
      </w:r>
      <w:r w:rsidRPr="002A2194">
        <w:rPr>
          <w:rFonts w:ascii="Arial" w:hAnsi="Arial" w:cs="Arial"/>
          <w:color w:val="auto"/>
          <w:spacing w:val="-22"/>
          <w:sz w:val="72"/>
          <w:szCs w:val="72"/>
        </w:rPr>
        <w:t>T</w:t>
      </w:r>
      <w:r w:rsidRPr="002A2194">
        <w:rPr>
          <w:rFonts w:ascii="Arial" w:hAnsi="Arial" w:cs="Arial"/>
          <w:color w:val="auto"/>
          <w:sz w:val="72"/>
          <w:szCs w:val="72"/>
        </w:rPr>
        <w:t>I</w:t>
      </w:r>
      <w:r w:rsidRPr="002A2194">
        <w:rPr>
          <w:rFonts w:ascii="Arial" w:hAnsi="Arial" w:cs="Arial"/>
          <w:color w:val="auto"/>
          <w:spacing w:val="-19"/>
          <w:sz w:val="72"/>
          <w:szCs w:val="72"/>
        </w:rPr>
        <w:t>V</w:t>
      </w:r>
      <w:r w:rsidRPr="002A2194">
        <w:rPr>
          <w:rFonts w:ascii="Arial" w:hAnsi="Arial" w:cs="Arial"/>
          <w:color w:val="auto"/>
          <w:sz w:val="72"/>
          <w:szCs w:val="72"/>
        </w:rPr>
        <w:t>E</w:t>
      </w:r>
    </w:p>
    <w:p w:rsidR="00732A75" w:rsidRDefault="00732A75">
      <w:pPr>
        <w:pStyle w:val="BodyText"/>
        <w:kinsoku w:val="0"/>
        <w:overflowPunct w:val="0"/>
        <w:spacing w:before="0" w:line="20" w:lineRule="atLeast"/>
        <w:ind w:left="828" w:firstLine="0"/>
        <w:rPr>
          <w:sz w:val="2"/>
          <w:szCs w:val="2"/>
        </w:rPr>
      </w:pPr>
    </w:p>
    <w:p w:rsidR="00732A75" w:rsidRPr="002A2194" w:rsidRDefault="00732A75" w:rsidP="002A2194">
      <w:pPr>
        <w:pStyle w:val="Subtitle"/>
        <w:jc w:val="center"/>
        <w:rPr>
          <w:rFonts w:ascii="Arial" w:hAnsi="Arial" w:cs="Arial"/>
          <w:i w:val="0"/>
          <w:color w:val="auto"/>
          <w:sz w:val="52"/>
          <w:szCs w:val="52"/>
        </w:rPr>
      </w:pPr>
      <w:r w:rsidRPr="002A2194">
        <w:rPr>
          <w:rFonts w:ascii="Arial" w:hAnsi="Arial" w:cs="Arial"/>
          <w:i w:val="0"/>
          <w:color w:val="auto"/>
          <w:sz w:val="52"/>
          <w:szCs w:val="52"/>
        </w:rPr>
        <w:t>15</w:t>
      </w:r>
      <w:r w:rsidRPr="002A2194">
        <w:rPr>
          <w:rFonts w:ascii="Arial" w:hAnsi="Arial" w:cs="Arial"/>
          <w:i w:val="0"/>
          <w:color w:val="auto"/>
          <w:spacing w:val="-15"/>
          <w:sz w:val="52"/>
          <w:szCs w:val="52"/>
        </w:rPr>
        <w:t xml:space="preserve"> </w:t>
      </w:r>
      <w:r w:rsidRPr="002A2194">
        <w:rPr>
          <w:rFonts w:ascii="Arial" w:hAnsi="Arial" w:cs="Arial"/>
          <w:i w:val="0"/>
          <w:color w:val="auto"/>
          <w:sz w:val="52"/>
          <w:szCs w:val="52"/>
        </w:rPr>
        <w:t>November</w:t>
      </w:r>
      <w:r w:rsidRPr="002A2194">
        <w:rPr>
          <w:rFonts w:ascii="Arial" w:hAnsi="Arial" w:cs="Arial"/>
          <w:i w:val="0"/>
          <w:color w:val="auto"/>
          <w:spacing w:val="-16"/>
          <w:sz w:val="52"/>
          <w:szCs w:val="52"/>
        </w:rPr>
        <w:t xml:space="preserve"> </w:t>
      </w:r>
      <w:r w:rsidRPr="002A2194">
        <w:rPr>
          <w:rFonts w:ascii="Arial" w:hAnsi="Arial" w:cs="Arial"/>
          <w:i w:val="0"/>
          <w:color w:val="auto"/>
          <w:sz w:val="52"/>
          <w:szCs w:val="52"/>
        </w:rPr>
        <w:t>2016</w:t>
      </w:r>
    </w:p>
    <w:p w:rsidR="00732A75" w:rsidRDefault="00732A75">
      <w:pPr>
        <w:pStyle w:val="BodyText"/>
        <w:kinsoku w:val="0"/>
        <w:overflowPunct w:val="0"/>
        <w:spacing w:before="47"/>
        <w:ind w:left="968" w:firstLine="0"/>
        <w:sectPr w:rsidR="00732A75" w:rsidSect="00B100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10" w:orient="landscape"/>
          <w:pgMar w:top="5812" w:right="1100" w:bottom="940" w:left="1100" w:header="552" w:footer="750" w:gutter="0"/>
          <w:pgNumType w:start="1"/>
          <w:cols w:space="720"/>
          <w:noEndnote/>
        </w:sectPr>
      </w:pPr>
    </w:p>
    <w:p w:rsidR="00732A75" w:rsidRDefault="00732A75">
      <w:pPr>
        <w:pStyle w:val="BodyText"/>
        <w:kinsoku w:val="0"/>
        <w:overflowPunct w:val="0"/>
        <w:spacing w:before="9"/>
        <w:ind w:left="0" w:firstLine="0"/>
        <w:rPr>
          <w:sz w:val="25"/>
          <w:szCs w:val="25"/>
        </w:rPr>
      </w:pPr>
    </w:p>
    <w:p w:rsidR="006C0021" w:rsidRPr="005B2CED" w:rsidRDefault="005B2CED" w:rsidP="00A83E9B">
      <w:pPr>
        <w:pStyle w:val="Heading1"/>
        <w:rPr>
          <w:b/>
        </w:rPr>
      </w:pPr>
      <w:r w:rsidRPr="005B2CED">
        <w:rPr>
          <w:spacing w:val="-10"/>
        </w:rPr>
        <w:t>At</w:t>
      </w:r>
      <w:r w:rsidRPr="005B2CED">
        <w:rPr>
          <w:spacing w:val="-43"/>
        </w:rPr>
        <w:t xml:space="preserve"> </w:t>
      </w:r>
      <w:r w:rsidRPr="005B2CED">
        <w:t>a</w:t>
      </w:r>
      <w:r w:rsidRPr="005B2CED">
        <w:rPr>
          <w:spacing w:val="-41"/>
        </w:rPr>
        <w:t xml:space="preserve"> </w:t>
      </w:r>
      <w:r w:rsidRPr="005B2CED">
        <w:t>Glance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48" w:line="250" w:lineRule="auto"/>
        <w:ind w:right="1231"/>
        <w:rPr>
          <w:color w:val="000000"/>
        </w:rPr>
      </w:pPr>
      <w:proofErr w:type="spellStart"/>
      <w:r>
        <w:rPr>
          <w:color w:val="000000"/>
          <w:spacing w:val="-1"/>
        </w:rPr>
        <w:t>Biosimilar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medicines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highly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>similar,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but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not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 xml:space="preserve">identical versions </w:t>
      </w:r>
      <w:r>
        <w:rPr>
          <w:color w:val="000000"/>
        </w:rPr>
        <w:t>of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57"/>
          <w:w w:val="99"/>
        </w:rPr>
        <w:t xml:space="preserve"> </w:t>
      </w:r>
      <w:r>
        <w:rPr>
          <w:color w:val="000000"/>
          <w:spacing w:val="-1"/>
        </w:rPr>
        <w:t>biological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medicine.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because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manufacturing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processes</w:t>
      </w:r>
      <w:r>
        <w:rPr>
          <w:color w:val="000000"/>
          <w:spacing w:val="44"/>
          <w:w w:val="99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used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production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2"/>
        </w:rPr>
        <w:t xml:space="preserve"> </w:t>
      </w:r>
      <w:r w:rsidR="00BF250A">
        <w:rPr>
          <w:color w:val="000000"/>
          <w:spacing w:val="-12"/>
        </w:rPr>
        <w:t>biological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medicines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>naturally</w:t>
      </w:r>
      <w:r>
        <w:rPr>
          <w:color w:val="000000"/>
          <w:spacing w:val="21"/>
          <w:w w:val="99"/>
        </w:rPr>
        <w:t xml:space="preserve"> </w:t>
      </w:r>
      <w:r>
        <w:rPr>
          <w:color w:val="000000"/>
          <w:spacing w:val="-1"/>
        </w:rPr>
        <w:t>variable.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96" w:line="250" w:lineRule="auto"/>
        <w:ind w:right="1019"/>
        <w:rPr>
          <w:color w:val="000000"/>
        </w:rPr>
      </w:pPr>
      <w:r>
        <w:rPr>
          <w:color w:val="000000"/>
          <w:spacing w:val="6"/>
        </w:rPr>
        <w:t>T</w:t>
      </w:r>
      <w:r>
        <w:rPr>
          <w:color w:val="000000"/>
        </w:rPr>
        <w:t>he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sa</w:t>
      </w:r>
      <w:r>
        <w:rPr>
          <w:color w:val="000000"/>
          <w:spacing w:val="4"/>
        </w:rPr>
        <w:t>f</w:t>
      </w:r>
      <w:r>
        <w:rPr>
          <w:color w:val="000000"/>
        </w:rPr>
        <w:t>et</w:t>
      </w:r>
      <w:r>
        <w:rPr>
          <w:color w:val="000000"/>
          <w:spacing w:val="-43"/>
        </w:rPr>
        <w:t>y</w:t>
      </w:r>
      <w:r>
        <w:rPr>
          <w:color w:val="000000"/>
        </w:rPr>
        <w:t>,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e</w:t>
      </w:r>
      <w:r>
        <w:rPr>
          <w:color w:val="000000"/>
          <w:spacing w:val="-7"/>
        </w:rPr>
        <w:t>f</w:t>
      </w:r>
      <w:r>
        <w:rPr>
          <w:color w:val="000000"/>
          <w:spacing w:val="4"/>
        </w:rPr>
        <w:t>f</w:t>
      </w:r>
      <w:r>
        <w:rPr>
          <w:color w:val="000000"/>
        </w:rPr>
        <w:t>ecti</w:t>
      </w:r>
      <w:r>
        <w:rPr>
          <w:color w:val="000000"/>
          <w:spacing w:val="-5"/>
        </w:rPr>
        <w:t>v</w:t>
      </w:r>
      <w:r>
        <w:rPr>
          <w:color w:val="000000"/>
        </w:rPr>
        <w:t>eness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qual</w:t>
      </w:r>
      <w:r>
        <w:rPr>
          <w:color w:val="000000"/>
          <w:spacing w:val="-5"/>
        </w:rPr>
        <w:t>i</w:t>
      </w:r>
      <w:r>
        <w:rPr>
          <w:color w:val="000000"/>
        </w:rPr>
        <w:t>ty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2"/>
        </w:rPr>
        <w:t xml:space="preserve"> </w:t>
      </w:r>
      <w:proofErr w:type="spellStart"/>
      <w:r>
        <w:rPr>
          <w:color w:val="000000"/>
          <w:spacing w:val="-3"/>
        </w:rPr>
        <w:t>b</w:t>
      </w:r>
      <w:r>
        <w:rPr>
          <w:color w:val="000000"/>
        </w:rPr>
        <w:t>i</w:t>
      </w:r>
      <w:r>
        <w:rPr>
          <w:color w:val="000000"/>
          <w:spacing w:val="-3"/>
        </w:rPr>
        <w:t>o</w:t>
      </w:r>
      <w:r>
        <w:rPr>
          <w:color w:val="000000"/>
        </w:rPr>
        <w:t>si</w:t>
      </w:r>
      <w:r>
        <w:rPr>
          <w:color w:val="000000"/>
          <w:spacing w:val="9"/>
        </w:rPr>
        <w:t>m</w:t>
      </w:r>
      <w:r>
        <w:rPr>
          <w:color w:val="000000"/>
        </w:rPr>
        <w:t>i</w:t>
      </w:r>
      <w:r>
        <w:rPr>
          <w:color w:val="000000"/>
          <w:spacing w:val="-6"/>
        </w:rPr>
        <w:t>l</w:t>
      </w:r>
      <w:r>
        <w:rPr>
          <w:color w:val="000000"/>
        </w:rPr>
        <w:t>ar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  <w:spacing w:val="8"/>
        </w:rPr>
        <w:t>m</w:t>
      </w:r>
      <w:r>
        <w:rPr>
          <w:color w:val="000000"/>
        </w:rPr>
        <w:t>ed</w:t>
      </w:r>
      <w:r>
        <w:rPr>
          <w:color w:val="000000"/>
          <w:spacing w:val="-5"/>
        </w:rPr>
        <w:t>i</w:t>
      </w:r>
      <w:r>
        <w:rPr>
          <w:color w:val="000000"/>
          <w:spacing w:val="2"/>
        </w:rPr>
        <w:t>c</w:t>
      </w:r>
      <w:r>
        <w:rPr>
          <w:color w:val="000000"/>
        </w:rPr>
        <w:t>i</w:t>
      </w:r>
      <w:r>
        <w:rPr>
          <w:color w:val="000000"/>
          <w:spacing w:val="-3"/>
        </w:rPr>
        <w:t>n</w:t>
      </w:r>
      <w:r>
        <w:rPr>
          <w:color w:val="000000"/>
        </w:rPr>
        <w:t>e,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once</w:t>
      </w:r>
      <w:r>
        <w:rPr>
          <w:color w:val="000000"/>
          <w:w w:val="99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4"/>
        </w:rPr>
        <w:t>s</w:t>
      </w:r>
      <w:r>
        <w:rPr>
          <w:color w:val="000000"/>
        </w:rPr>
        <w:t>es</w:t>
      </w:r>
      <w:r>
        <w:rPr>
          <w:color w:val="000000"/>
          <w:spacing w:val="4"/>
        </w:rPr>
        <w:t>s</w:t>
      </w:r>
      <w:r>
        <w:rPr>
          <w:color w:val="000000"/>
        </w:rPr>
        <w:t>ed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3"/>
        </w:rPr>
        <w:t>b</w:t>
      </w:r>
      <w:r>
        <w:rPr>
          <w:color w:val="000000"/>
        </w:rPr>
        <w:t>y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reg</w:t>
      </w:r>
      <w:r>
        <w:rPr>
          <w:color w:val="000000"/>
          <w:spacing w:val="-3"/>
        </w:rPr>
        <w:t>u</w:t>
      </w:r>
      <w:r>
        <w:rPr>
          <w:color w:val="000000"/>
        </w:rPr>
        <w:t>l</w:t>
      </w:r>
      <w:r>
        <w:rPr>
          <w:color w:val="000000"/>
          <w:spacing w:val="-3"/>
        </w:rPr>
        <w:t>a</w:t>
      </w:r>
      <w:r>
        <w:rPr>
          <w:color w:val="000000"/>
        </w:rPr>
        <w:t>to</w:t>
      </w:r>
      <w:r>
        <w:rPr>
          <w:color w:val="000000"/>
          <w:spacing w:val="-25"/>
        </w:rPr>
        <w:t>r</w:t>
      </w:r>
      <w:r>
        <w:rPr>
          <w:color w:val="000000"/>
        </w:rPr>
        <w:t>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has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been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2"/>
        </w:rPr>
        <w:t>s</w:t>
      </w:r>
      <w:r>
        <w:rPr>
          <w:color w:val="000000"/>
        </w:rPr>
        <w:t>ho</w:t>
      </w:r>
      <w:r>
        <w:rPr>
          <w:color w:val="000000"/>
          <w:spacing w:val="-7"/>
        </w:rPr>
        <w:t>w</w:t>
      </w:r>
      <w:r>
        <w:rPr>
          <w:color w:val="000000"/>
        </w:rPr>
        <w:t>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n</w:t>
      </w:r>
      <w:r>
        <w:rPr>
          <w:color w:val="000000"/>
          <w:spacing w:val="-3"/>
        </w:rPr>
        <w:t>o</w:t>
      </w:r>
      <w:r>
        <w:rPr>
          <w:color w:val="000000"/>
        </w:rPr>
        <w:t>t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3"/>
        </w:rPr>
        <w:t>a</w:t>
      </w:r>
      <w:r>
        <w:rPr>
          <w:color w:val="000000"/>
          <w:spacing w:val="-7"/>
        </w:rPr>
        <w:t>f</w:t>
      </w:r>
      <w:r>
        <w:rPr>
          <w:color w:val="000000"/>
          <w:spacing w:val="4"/>
        </w:rPr>
        <w:t>f</w:t>
      </w:r>
      <w:r>
        <w:rPr>
          <w:color w:val="000000"/>
        </w:rPr>
        <w:t>ected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by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the</w:t>
      </w:r>
      <w:r>
        <w:rPr>
          <w:color w:val="000000"/>
          <w:w w:val="99"/>
        </w:rPr>
        <w:t xml:space="preserve"> </w:t>
      </w:r>
      <w:r>
        <w:rPr>
          <w:color w:val="000000"/>
          <w:spacing w:val="1"/>
        </w:rPr>
        <w:t>minor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>differences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between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originator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biological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(also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known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21"/>
          <w:w w:val="99"/>
        </w:rPr>
        <w:t xml:space="preserve"> </w:t>
      </w:r>
      <w:r>
        <w:rPr>
          <w:color w:val="000000"/>
        </w:rPr>
        <w:t>reference</w:t>
      </w:r>
      <w:r>
        <w:rPr>
          <w:color w:val="000000"/>
          <w:spacing w:val="-20"/>
        </w:rPr>
        <w:t xml:space="preserve"> </w:t>
      </w:r>
      <w:r>
        <w:rPr>
          <w:color w:val="000000"/>
          <w:spacing w:val="-1"/>
        </w:rPr>
        <w:t>biological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medicine)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4"/>
        </w:rPr>
        <w:t xml:space="preserve"> </w:t>
      </w:r>
      <w:proofErr w:type="spellStart"/>
      <w:r>
        <w:rPr>
          <w:color w:val="000000"/>
        </w:rPr>
        <w:t>biosimilar</w:t>
      </w:r>
      <w:proofErr w:type="spellEnd"/>
      <w:r>
        <w:rPr>
          <w:color w:val="000000"/>
          <w:spacing w:val="-12"/>
        </w:rPr>
        <w:t xml:space="preserve"> </w:t>
      </w:r>
      <w:r>
        <w:rPr>
          <w:color w:val="000000"/>
        </w:rPr>
        <w:t>medicine.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96" w:line="250" w:lineRule="auto"/>
        <w:ind w:right="1019"/>
        <w:rPr>
          <w:color w:val="000000"/>
        </w:rPr>
        <w:sectPr w:rsidR="00732A75">
          <w:headerReference w:type="default" r:id="rId14"/>
          <w:footerReference w:type="default" r:id="rId15"/>
          <w:pgSz w:w="16840" w:h="11910" w:orient="landscape"/>
          <w:pgMar w:top="3560" w:right="1100" w:bottom="940" w:left="1100" w:header="552" w:footer="750" w:gutter="0"/>
          <w:pgNumType w:start="1"/>
          <w:cols w:space="720"/>
          <w:noEndnote/>
        </w:sectPr>
      </w:pPr>
    </w:p>
    <w:p w:rsidR="00732A75" w:rsidRDefault="00732A75">
      <w:pPr>
        <w:pStyle w:val="BodyText"/>
        <w:kinsoku w:val="0"/>
        <w:overflowPunct w:val="0"/>
        <w:spacing w:before="9"/>
        <w:ind w:left="0" w:firstLine="0"/>
        <w:rPr>
          <w:sz w:val="25"/>
          <w:szCs w:val="25"/>
        </w:rPr>
      </w:pP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48" w:line="250" w:lineRule="auto"/>
        <w:ind w:right="1220"/>
        <w:rPr>
          <w:color w:val="000000"/>
        </w:rPr>
      </w:pPr>
      <w:r>
        <w:rPr>
          <w:color w:val="000000"/>
          <w:spacing w:val="2"/>
        </w:rPr>
        <w:t>The</w:t>
      </w:r>
      <w:r>
        <w:rPr>
          <w:color w:val="000000"/>
          <w:spacing w:val="-27"/>
        </w:rPr>
        <w:t xml:space="preserve"> </w:t>
      </w:r>
      <w:r>
        <w:rPr>
          <w:color w:val="000000"/>
        </w:rPr>
        <w:t>Therapeutic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Goods</w:t>
      </w:r>
      <w:r>
        <w:rPr>
          <w:color w:val="000000"/>
          <w:spacing w:val="-32"/>
        </w:rPr>
        <w:t xml:space="preserve"> </w:t>
      </w:r>
      <w:r>
        <w:rPr>
          <w:color w:val="000000"/>
        </w:rPr>
        <w:t>Administration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1"/>
        </w:rPr>
        <w:t>(TGA)</w:t>
      </w:r>
      <w:r>
        <w:rPr>
          <w:color w:val="000000"/>
          <w:spacing w:val="-24"/>
        </w:rPr>
        <w:t xml:space="preserve"> </w:t>
      </w:r>
      <w:r>
        <w:rPr>
          <w:color w:val="000000"/>
          <w:spacing w:val="-1"/>
        </w:rPr>
        <w:t>regulates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monitors</w:t>
      </w:r>
      <w:r>
        <w:rPr>
          <w:color w:val="000000"/>
          <w:spacing w:val="41"/>
          <w:w w:val="9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1"/>
        </w:rPr>
        <w:t>safety</w:t>
      </w:r>
      <w:r>
        <w:rPr>
          <w:color w:val="000000"/>
          <w:spacing w:val="-22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2"/>
        </w:rPr>
        <w:t>all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medicines,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including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biosimilar</w:t>
      </w:r>
      <w:proofErr w:type="spellEnd"/>
      <w:r>
        <w:rPr>
          <w:color w:val="000000"/>
          <w:spacing w:val="-5"/>
        </w:rPr>
        <w:t xml:space="preserve"> </w:t>
      </w:r>
      <w:r>
        <w:rPr>
          <w:color w:val="000000"/>
        </w:rPr>
        <w:t>medicines.</w:t>
      </w:r>
      <w:r>
        <w:rPr>
          <w:color w:val="000000"/>
          <w:spacing w:val="27"/>
          <w:w w:val="99"/>
        </w:rPr>
        <w:t xml:space="preserve"> </w:t>
      </w:r>
      <w:r>
        <w:rPr>
          <w:color w:val="000000"/>
        </w:rPr>
        <w:t>Manufacturers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1"/>
        </w:rPr>
        <w:t>are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"/>
        </w:rPr>
        <w:t>required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"/>
        </w:rPr>
        <w:t>have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risk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1"/>
        </w:rPr>
        <w:t>management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plan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>place</w:t>
      </w:r>
      <w:r>
        <w:rPr>
          <w:color w:val="000000"/>
          <w:spacing w:val="31"/>
          <w:w w:val="99"/>
        </w:rPr>
        <w:t xml:space="preserve"> </w:t>
      </w:r>
      <w:r>
        <w:rPr>
          <w:color w:val="000000"/>
        </w:rPr>
        <w:t>before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medicine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can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2"/>
        </w:rPr>
        <w:t>be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registered,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2"/>
        </w:rPr>
        <w:t>TGA</w:t>
      </w:r>
      <w:r>
        <w:rPr>
          <w:color w:val="000000"/>
          <w:spacing w:val="-33"/>
        </w:rPr>
        <w:t xml:space="preserve"> </w:t>
      </w:r>
      <w:r>
        <w:rPr>
          <w:color w:val="000000"/>
          <w:spacing w:val="-1"/>
        </w:rPr>
        <w:t>investigates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all</w:t>
      </w:r>
      <w:r>
        <w:rPr>
          <w:color w:val="000000"/>
          <w:spacing w:val="30"/>
          <w:w w:val="99"/>
        </w:rPr>
        <w:t xml:space="preserve"> </w:t>
      </w:r>
      <w:r>
        <w:rPr>
          <w:color w:val="000000"/>
        </w:rPr>
        <w:t>reports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problems.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96" w:line="250" w:lineRule="auto"/>
        <w:ind w:right="1129"/>
        <w:rPr>
          <w:color w:val="000000"/>
        </w:rPr>
      </w:pPr>
      <w:r>
        <w:rPr>
          <w:color w:val="000000"/>
          <w:spacing w:val="2"/>
        </w:rPr>
        <w:t>The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introduction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0"/>
        </w:rPr>
        <w:t xml:space="preserve"> </w:t>
      </w:r>
      <w:proofErr w:type="spellStart"/>
      <w:r>
        <w:rPr>
          <w:color w:val="000000"/>
          <w:spacing w:val="-1"/>
        </w:rPr>
        <w:t>biosimilar</w:t>
      </w:r>
      <w:proofErr w:type="spellEnd"/>
      <w:r>
        <w:rPr>
          <w:color w:val="000000"/>
          <w:spacing w:val="-9"/>
        </w:rPr>
        <w:t xml:space="preserve"> </w:t>
      </w:r>
      <w:r>
        <w:rPr>
          <w:color w:val="000000"/>
        </w:rPr>
        <w:t>medicines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improves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1"/>
        </w:rPr>
        <w:t>access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these</w:t>
      </w:r>
      <w:r>
        <w:rPr>
          <w:color w:val="000000"/>
          <w:spacing w:val="56"/>
          <w:w w:val="99"/>
        </w:rPr>
        <w:t xml:space="preserve"> </w:t>
      </w:r>
      <w:r>
        <w:rPr>
          <w:color w:val="000000"/>
          <w:spacing w:val="-1"/>
        </w:rPr>
        <w:t>high-cost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treatments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by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encouraging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competition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2"/>
        </w:rPr>
        <w:t>which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leads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price</w:t>
      </w:r>
      <w:r>
        <w:rPr>
          <w:color w:val="000000"/>
          <w:spacing w:val="71"/>
          <w:w w:val="99"/>
        </w:rPr>
        <w:t xml:space="preserve"> </w:t>
      </w:r>
      <w:r>
        <w:rPr>
          <w:color w:val="000000"/>
        </w:rPr>
        <w:t>reductions.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3"/>
        </w:rPr>
        <w:t>will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have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positive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1"/>
        </w:rPr>
        <w:t>impact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-2"/>
        </w:rPr>
        <w:t>within</w:t>
      </w:r>
      <w:r>
        <w:rPr>
          <w:color w:val="000000"/>
          <w:spacing w:val="-21"/>
        </w:rPr>
        <w:t xml:space="preserve"> </w:t>
      </w:r>
      <w:r>
        <w:rPr>
          <w:color w:val="000000"/>
          <w:spacing w:val="-1"/>
        </w:rPr>
        <w:t>Australian hospitals</w:t>
      </w:r>
      <w:r>
        <w:rPr>
          <w:color w:val="000000"/>
          <w:spacing w:val="37"/>
          <w:w w:val="99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 xml:space="preserve">sustainability </w:t>
      </w:r>
      <w:r>
        <w:rPr>
          <w:color w:val="000000"/>
        </w:rPr>
        <w:t>of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PBS.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96" w:line="250" w:lineRule="auto"/>
        <w:ind w:right="1129"/>
        <w:rPr>
          <w:color w:val="000000"/>
        </w:rPr>
        <w:sectPr w:rsidR="00732A75"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732A75" w:rsidRDefault="00732A75">
      <w:pPr>
        <w:pStyle w:val="BodyText"/>
        <w:kinsoku w:val="0"/>
        <w:overflowPunct w:val="0"/>
        <w:spacing w:before="11"/>
        <w:ind w:left="0" w:firstLine="0"/>
        <w:rPr>
          <w:sz w:val="10"/>
          <w:szCs w:val="10"/>
        </w:rPr>
      </w:pPr>
    </w:p>
    <w:p w:rsidR="00732A75" w:rsidRPr="005B2CED" w:rsidRDefault="00732A75" w:rsidP="00A83E9B">
      <w:pPr>
        <w:pStyle w:val="Heading1"/>
        <w:rPr>
          <w:spacing w:val="-18"/>
        </w:rPr>
      </w:pPr>
      <w:r w:rsidRPr="005B2CED">
        <w:t>Desired</w:t>
      </w:r>
      <w:r w:rsidRPr="005B2CED">
        <w:rPr>
          <w:spacing w:val="-46"/>
        </w:rPr>
        <w:t xml:space="preserve"> </w:t>
      </w:r>
      <w:r w:rsidRPr="005B2CED">
        <w:t>Outcomes</w:t>
      </w:r>
      <w:r w:rsidRPr="005B2CED">
        <w:rPr>
          <w:spacing w:val="-53"/>
        </w:rPr>
        <w:t xml:space="preserve"> </w:t>
      </w:r>
      <w:r w:rsidRPr="005B2CED">
        <w:rPr>
          <w:spacing w:val="-10"/>
        </w:rPr>
        <w:t>of</w:t>
      </w:r>
      <w:r w:rsidRPr="005B2CED">
        <w:rPr>
          <w:spacing w:val="-43"/>
        </w:rPr>
        <w:t xml:space="preserve"> </w:t>
      </w:r>
      <w:r w:rsidRPr="005B2CED">
        <w:rPr>
          <w:spacing w:val="-13"/>
        </w:rPr>
        <w:t>the</w:t>
      </w:r>
      <w:r w:rsidRPr="005B2CED">
        <w:rPr>
          <w:spacing w:val="-46"/>
        </w:rPr>
        <w:t xml:space="preserve"> </w:t>
      </w:r>
      <w:r w:rsidRPr="005B2CED">
        <w:rPr>
          <w:spacing w:val="-18"/>
        </w:rPr>
        <w:t>Initiative</w:t>
      </w:r>
    </w:p>
    <w:p w:rsidR="00732A75" w:rsidRDefault="00732A75">
      <w:pPr>
        <w:pStyle w:val="BodyText"/>
        <w:kinsoku w:val="0"/>
        <w:overflowPunct w:val="0"/>
        <w:spacing w:before="2"/>
        <w:ind w:left="0" w:firstLine="0"/>
        <w:rPr>
          <w:sz w:val="7"/>
          <w:szCs w:val="7"/>
        </w:rPr>
      </w:pPr>
    </w:p>
    <w:p w:rsidR="00732A75" w:rsidRDefault="00AD0F03">
      <w:pPr>
        <w:pStyle w:val="BodyText"/>
        <w:kinsoku w:val="0"/>
        <w:overflowPunct w:val="0"/>
        <w:spacing w:before="0" w:line="200" w:lineRule="atLeast"/>
        <w:ind w:left="828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8237220" cy="4785360"/>
                <wp:effectExtent l="9525" t="0" r="1905" b="5715"/>
                <wp:docPr id="21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37220" cy="4785360"/>
                          <a:chOff x="0" y="0"/>
                          <a:chExt cx="12972" cy="7536"/>
                        </a:xfrm>
                      </wpg:grpSpPr>
                      <wps:wsp>
                        <wps:cNvPr id="216" name="Freeform 52"/>
                        <wps:cNvSpPr>
                          <a:spLocks/>
                        </wps:cNvSpPr>
                        <wps:spPr bwMode="auto">
                          <a:xfrm>
                            <a:off x="5" y="172"/>
                            <a:ext cx="12960" cy="20"/>
                          </a:xfrm>
                          <a:custGeom>
                            <a:avLst/>
                            <a:gdLst>
                              <a:gd name="T0" fmla="*/ 0 w 12960"/>
                              <a:gd name="T1" fmla="*/ 0 h 20"/>
                              <a:gd name="T2" fmla="*/ 12960 w 129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960" h="20">
                                <a:moveTo>
                                  <a:pt x="0" y="0"/>
                                </a:moveTo>
                                <a:lnTo>
                                  <a:pt x="129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69" y="0"/>
                            <a:ext cx="12560" cy="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2A75" w:rsidRDefault="00AD0F03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5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7973060" cy="4784090"/>
                                    <wp:effectExtent l="0" t="0" r="8890" b="0"/>
                                    <wp:docPr id="144" name="Picture 93" descr="A bar chart lists the desired outcomes, which include: consumers confident with choice of biosimilar; confidence in dispensing biosimilars and counselling patients; confidence in prescribing an &quot;a&quot; flagged biosimilar for new patients and switching stable patients to an &quot;a&quot; flagged biosimilar; confidence in the comparability of the biosimilar to the reference drug (efficacy, safety and indication extrapolation); awareness and knowledge of biologic and biosimilar medicines; awareness of the Pharmaceutical Benefits Scheme (PBS) to subsidise medicines by the Australian Government and the TGA for ensuring safety and fit for purpose. " title="Desired Outcomes of the Initiativ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3" descr="A bar chart lists the desired outcomes, which include: consumers confident with choice of biosimilar; confidence in dispensing biosimilars and counselling patients; confidence in prescribing an &quot;a&quot; flagged biosimilar for new patients and switching stable patients to an &quot;a&quot; flagged biosimilar; confidence in the comparability of the biosimilar to the reference drug (efficacy, safety and indication extrapolation); awareness and knowledge of biologic and biosimilar medicines; awareness of the Pharmaceutical Benefits Scheme (PBS) to subsidise medicines by the Australian Government and the TGA for ensuring safety and fit for purpose. 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973060" cy="4784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732A75" w:rsidRDefault="00732A7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" o:spid="_x0000_s1026" style="width:648.6pt;height:376.8pt;mso-position-horizontal-relative:char;mso-position-vertical-relative:line" coordsize="12972,7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">
                <v:shape id="Freeform 52" o:spid="_x0000_s1027" style="position:absolute;left:5;top:172;width:12960;height:20;visibility:visible;mso-wrap-style:square;v-text-anchor:top" coordsize="129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C45MMA&#10;AADcAAAADwAAAGRycy9kb3ducmV2LnhtbESPQYvCMBSE7wv+h/AEb5q2B1mqUWSh4MFDdfX+aJ5N&#10;2ealJNla99ebhYU9DjPzDbPdT7YXI/nQOVaQrzIQxI3THbcKrp/V8h1EiMgae8ek4EkB9rvZ2xZL&#10;7R58pvESW5EgHEpUYGIcSilDY8hiWLmBOHl35y3GJH0rtcdHgtteFlm2lhY7TgsGB/ow1Hxdvq2C&#10;qirq+2G8PWt7/alP+ek8Hr1RajGfDhsQkab4H/5rH7WCIl/D75l0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C45MMAAADcAAAADwAAAAAAAAAAAAAAAACYAgAAZHJzL2Rv&#10;d25yZXYueG1sUEsFBgAAAAAEAAQA9QAAAIgDAAAAAA==&#10;" path="m,l12960,e" filled="f" strokecolor="gray" strokeweight=".58pt">
                  <v:path arrowok="t" o:connecttype="custom" o:connectlocs="0,0;12960,0" o:connectangles="0,0"/>
                </v:shape>
                <v:rect id="Rectangle 53" o:spid="_x0000_s1028" style="position:absolute;left:169;width:12560;height:7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732A75" w:rsidRDefault="00AD0F03">
                        <w:pPr>
                          <w:widowControl/>
                          <w:autoSpaceDE/>
                          <w:autoSpaceDN/>
                          <w:adjustRightInd/>
                          <w:spacing w:line="75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973060" cy="4784090"/>
                              <wp:effectExtent l="0" t="0" r="8890" b="0"/>
                              <wp:docPr id="144" name="Picture 93" descr="A bar chart lists the desired outcomes, which include: consumers confident with choice of biosimilar; confidence in dispensing biosimilars and counselling patients; confidence in prescribing an &quot;a&quot; flagged biosimilar for new patients and switching stable patients to an &quot;a&quot; flagged biosimilar; confidence in the comparability of the biosimilar to the reference drug (efficacy, safety and indication extrapolation); awareness and knowledge of biologic and biosimilar medicines; awareness of the Pharmaceutical Benefits Scheme (PBS) to subsidise medicines by the Australian Government and the TGA for ensuring safety and fit for purpose. " title="Desired Outcomes of the Initiativ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" descr="A bar chart lists the desired outcomes, which include: consumers confident with choice of biosimilar; confidence in dispensing biosimilars and counselling patients; confidence in prescribing an &quot;a&quot; flagged biosimilar for new patients and switching stable patients to an &quot;a&quot; flagged biosimilar; confidence in the comparability of the biosimilar to the reference drug (efficacy, safety and indication extrapolation); awareness and knowledge of biologic and biosimilar medicines; awareness of the Pharmaceutical Benefits Scheme (PBS) to subsidise medicines by the Australian Government and the TGA for ensuring safety and fit for purpose. 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973060" cy="47840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32A75" w:rsidRDefault="00732A75"/>
                    </w:txbxContent>
                  </v:textbox>
                </v:rect>
                <w10:anchorlock/>
              </v:group>
            </w:pict>
          </mc:Fallback>
        </mc:AlternateContent>
      </w:r>
    </w:p>
    <w:p w:rsidR="00732A75" w:rsidRDefault="00732A75">
      <w:pPr>
        <w:pStyle w:val="BodyText"/>
        <w:kinsoku w:val="0"/>
        <w:overflowPunct w:val="0"/>
        <w:spacing w:before="0" w:line="200" w:lineRule="atLeast"/>
        <w:ind w:left="114" w:firstLine="0"/>
        <w:rPr>
          <w:sz w:val="20"/>
          <w:szCs w:val="20"/>
        </w:rPr>
      </w:pPr>
    </w:p>
    <w:p w:rsidR="00732A75" w:rsidRDefault="00732A75">
      <w:pPr>
        <w:pStyle w:val="BodyText"/>
        <w:kinsoku w:val="0"/>
        <w:overflowPunct w:val="0"/>
        <w:spacing w:before="0" w:line="200" w:lineRule="atLeast"/>
        <w:ind w:left="114" w:firstLine="0"/>
        <w:rPr>
          <w:sz w:val="20"/>
          <w:szCs w:val="20"/>
        </w:rPr>
        <w:sectPr w:rsidR="00732A75">
          <w:headerReference w:type="default" r:id="rId18"/>
          <w:footerReference w:type="default" r:id="rId19"/>
          <w:pgSz w:w="16840" w:h="11910" w:orient="landscape"/>
          <w:pgMar w:top="2500" w:right="1100" w:bottom="280" w:left="1100" w:header="552" w:footer="0" w:gutter="0"/>
          <w:cols w:space="720"/>
          <w:noEndnote/>
        </w:sectPr>
      </w:pPr>
    </w:p>
    <w:p w:rsidR="00732A75" w:rsidRDefault="00732A75" w:rsidP="00A83E9B">
      <w:pPr>
        <w:pStyle w:val="Heading1"/>
        <w:rPr>
          <w:spacing w:val="-17"/>
        </w:rPr>
      </w:pPr>
      <w:r>
        <w:t>Stakeholder</w:t>
      </w:r>
      <w:r>
        <w:rPr>
          <w:spacing w:val="-55"/>
        </w:rPr>
        <w:t xml:space="preserve"> </w:t>
      </w:r>
      <w:r>
        <w:rPr>
          <w:spacing w:val="-17"/>
        </w:rPr>
        <w:t>Groups</w:t>
      </w:r>
    </w:p>
    <w:p w:rsidR="00732A75" w:rsidRDefault="00AD0F03">
      <w:pPr>
        <w:pStyle w:val="BodyText"/>
        <w:kinsoku w:val="0"/>
        <w:overflowPunct w:val="0"/>
        <w:spacing w:before="0" w:line="200" w:lineRule="atLeast"/>
        <w:ind w:left="828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8237220" cy="4706620"/>
                <wp:effectExtent l="9525" t="0" r="1905" b="8255"/>
                <wp:docPr id="206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37220" cy="4706620"/>
                          <a:chOff x="0" y="0"/>
                          <a:chExt cx="12972" cy="7412"/>
                        </a:xfrm>
                      </wpg:grpSpPr>
                      <wps:wsp>
                        <wps:cNvPr id="208" name="Freeform 80"/>
                        <wps:cNvSpPr>
                          <a:spLocks/>
                        </wps:cNvSpPr>
                        <wps:spPr bwMode="auto">
                          <a:xfrm>
                            <a:off x="5" y="48"/>
                            <a:ext cx="12960" cy="20"/>
                          </a:xfrm>
                          <a:custGeom>
                            <a:avLst/>
                            <a:gdLst>
                              <a:gd name="T0" fmla="*/ 0 w 12960"/>
                              <a:gd name="T1" fmla="*/ 0 h 20"/>
                              <a:gd name="T2" fmla="*/ 12960 w 129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960" h="20">
                                <a:moveTo>
                                  <a:pt x="0" y="0"/>
                                </a:moveTo>
                                <a:lnTo>
                                  <a:pt x="129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6" y="0"/>
                            <a:ext cx="12960" cy="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2A75" w:rsidRDefault="00AD0F03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4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8229600" cy="4705985"/>
                                    <wp:effectExtent l="0" t="0" r="0" b="0"/>
                                    <wp:docPr id="160" name="Picture 160" descr="A series of stakeholder categories for the Biosimilars Awareness Initiative are displayed inside seven-point stars. The categories are: Ministers; Dept of Health International; Commonwealth State and Territory Authorities; Consumers, Carers, Patient Groups; Professional Groups and Colleges; Universities, Research Groups, Clinical Trials; Industry Groups/Companies; Pharmaceutical Companies; International Consumer Groups; International Professional Groups and Regulatory Bodies; Other. " title="Stakeholder Groups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0" descr="A series of stakeholder categories for the Biosimilars Awareness Initiative are displayed inside seven-point stars. The categories are: Ministers; Dept of Health International; Commonwealth State and Territory Authorities; Consumers, Carers, Patient Groups; Professional Groups and Colleges; Universities, Research Groups, Clinical Trials; Industry Groups/Companies; Pharmaceutical Companies; International Consumer Groups; International Professional Groups and Regulatory Bodies; Other. 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29600" cy="47059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732A75" w:rsidRDefault="00732A7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9" o:spid="_x0000_s1029" style="width:648.6pt;height:370.6pt;mso-position-horizontal-relative:char;mso-position-vertical-relative:line" coordsize="12972,7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">
                <v:shape id="Freeform 80" o:spid="_x0000_s1030" style="position:absolute;left:5;top:48;width:12960;height:20;visibility:visible;mso-wrap-style:square;v-text-anchor:top" coordsize="129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of0MAA&#10;AADcAAAADwAAAGRycy9kb3ducmV2LnhtbERPy4rCMBTdD/gP4QqzG1O7EKlGEaHgwkV9zP7SXJti&#10;c1OSWKtfbxYDszyc93o72k4M5EPrWMF8loEgrp1uuVFwvZQ/SxAhImvsHJOCFwXYbiZfayy0e/KJ&#10;hnNsRArhUKACE2NfSBlqQxbDzPXEibs5bzEm6BupPT5TuO1knmULabHl1GCwp72h+n5+WAVlmVe3&#10;3fD7quz1XR3nx9Nw8Eap7+m4W4GINMZ/8Z/7oBXkWVqbzqQjID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nof0MAAAADcAAAADwAAAAAAAAAAAAAAAACYAgAAZHJzL2Rvd25y&#10;ZXYueG1sUEsFBgAAAAAEAAQA9QAAAIUDAAAAAA==&#10;" path="m,l12960,e" filled="f" strokecolor="gray" strokeweight=".58pt">
                  <v:path arrowok="t" o:connecttype="custom" o:connectlocs="0,0;12960,0" o:connectangles="0,0"/>
                </v:shape>
                <v:rect id="Rectangle 81" o:spid="_x0000_s1031" style="position:absolute;left:6;width:12960;height:7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b68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mB/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xvrwgAAANwAAAAPAAAAAAAAAAAAAAAAAJgCAABkcnMvZG93&#10;bnJldi54bWxQSwUGAAAAAAQABAD1AAAAhwMAAAAA&#10;" filled="f" stroked="f">
                  <v:textbox inset="0,0,0,0">
                    <w:txbxContent>
                      <w:p w:rsidR="00732A75" w:rsidRDefault="00AD0F03">
                        <w:pPr>
                          <w:widowControl/>
                          <w:autoSpaceDE/>
                          <w:autoSpaceDN/>
                          <w:adjustRightInd/>
                          <w:spacing w:line="74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229600" cy="4705985"/>
                              <wp:effectExtent l="0" t="0" r="0" b="0"/>
                              <wp:docPr id="160" name="Picture 160" descr="A series of stakeholder categories for the Biosimilars Awareness Initiative are displayed inside seven-point stars. The categories are: Ministers; Dept of Health International; Commonwealth State and Territory Authorities; Consumers, Carers, Patient Groups; Professional Groups and Colleges; Universities, Research Groups, Clinical Trials; Industry Groups/Companies; Pharmaceutical Companies; International Consumer Groups; International Professional Groups and Regulatory Bodies; Other. " title="Stakeholder Group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0" descr="A series of stakeholder categories for the Biosimilars Awareness Initiative are displayed inside seven-point stars. The categories are: Ministers; Dept of Health International; Commonwealth State and Territory Authorities; Consumers, Carers, Patient Groups; Professional Groups and Colleges; Universities, Research Groups, Clinical Trials; Industry Groups/Companies; Pharmaceutical Companies; International Consumer Groups; International Professional Groups and Regulatory Bodies; Other. 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29600" cy="4705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32A75" w:rsidRDefault="00732A75"/>
                    </w:txbxContent>
                  </v:textbox>
                </v:rect>
                <w10:anchorlock/>
              </v:group>
            </w:pict>
          </mc:Fallback>
        </mc:AlternateContent>
      </w:r>
    </w:p>
    <w:p w:rsidR="00732A75" w:rsidRDefault="00732A75">
      <w:pPr>
        <w:pStyle w:val="BodyText"/>
        <w:kinsoku w:val="0"/>
        <w:overflowPunct w:val="0"/>
        <w:spacing w:before="0" w:line="200" w:lineRule="atLeast"/>
        <w:ind w:left="114" w:firstLine="0"/>
        <w:rPr>
          <w:sz w:val="20"/>
          <w:szCs w:val="20"/>
        </w:rPr>
      </w:pPr>
    </w:p>
    <w:p w:rsidR="00732A75" w:rsidRDefault="00732A75">
      <w:pPr>
        <w:pStyle w:val="BodyText"/>
        <w:kinsoku w:val="0"/>
        <w:overflowPunct w:val="0"/>
        <w:spacing w:before="0" w:line="200" w:lineRule="atLeast"/>
        <w:ind w:left="114" w:firstLine="0"/>
        <w:rPr>
          <w:sz w:val="20"/>
          <w:szCs w:val="20"/>
        </w:rPr>
        <w:sectPr w:rsidR="00732A75">
          <w:headerReference w:type="default" r:id="rId22"/>
          <w:footerReference w:type="default" r:id="rId23"/>
          <w:pgSz w:w="16840" w:h="11910" w:orient="landscape"/>
          <w:pgMar w:top="2500" w:right="1100" w:bottom="280" w:left="1100" w:header="552" w:footer="0" w:gutter="0"/>
          <w:cols w:space="720"/>
          <w:noEndnote/>
        </w:sectPr>
      </w:pPr>
    </w:p>
    <w:p w:rsidR="00732A75" w:rsidRPr="005B2CED" w:rsidRDefault="00732A75" w:rsidP="00A83E9B">
      <w:pPr>
        <w:pStyle w:val="Heading1"/>
        <w:rPr>
          <w:spacing w:val="-17"/>
        </w:rPr>
      </w:pPr>
      <w:r w:rsidRPr="005B2CED">
        <w:t>Governance</w:t>
      </w:r>
      <w:r w:rsidRPr="005B2CED">
        <w:rPr>
          <w:spacing w:val="-46"/>
        </w:rPr>
        <w:t xml:space="preserve"> </w:t>
      </w:r>
      <w:r w:rsidRPr="005B2CED">
        <w:rPr>
          <w:spacing w:val="-14"/>
        </w:rPr>
        <w:t>and</w:t>
      </w:r>
      <w:r w:rsidRPr="005B2CED">
        <w:rPr>
          <w:spacing w:val="-41"/>
        </w:rPr>
        <w:t xml:space="preserve"> </w:t>
      </w:r>
      <w:r w:rsidRPr="005B2CED">
        <w:rPr>
          <w:spacing w:val="-17"/>
        </w:rPr>
        <w:t>Research</w:t>
      </w:r>
    </w:p>
    <w:p w:rsidR="00732A75" w:rsidRDefault="00732A75">
      <w:pPr>
        <w:pStyle w:val="BodyText"/>
        <w:kinsoku w:val="0"/>
        <w:overflowPunct w:val="0"/>
        <w:spacing w:before="0" w:line="20" w:lineRule="atLeast"/>
        <w:ind w:left="828" w:firstLine="0"/>
        <w:rPr>
          <w:sz w:val="2"/>
          <w:szCs w:val="2"/>
        </w:rPr>
      </w:pP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326" w:line="250" w:lineRule="auto"/>
        <w:ind w:right="2732"/>
        <w:rPr>
          <w:color w:val="000000"/>
        </w:rPr>
      </w:pPr>
      <w:r>
        <w:rPr>
          <w:color w:val="000000"/>
        </w:rPr>
        <w:t>Establishment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robust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project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1"/>
        </w:rPr>
        <w:t>management</w:t>
      </w:r>
      <w:r>
        <w:rPr>
          <w:color w:val="000000"/>
          <w:spacing w:val="-28"/>
        </w:rPr>
        <w:t xml:space="preserve"> </w:t>
      </w:r>
      <w:r>
        <w:rPr>
          <w:color w:val="000000"/>
        </w:rPr>
        <w:t>processes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36"/>
          <w:w w:val="99"/>
        </w:rPr>
        <w:t xml:space="preserve"> </w:t>
      </w:r>
      <w:r>
        <w:rPr>
          <w:color w:val="000000"/>
          <w:spacing w:val="-1"/>
        </w:rPr>
        <w:t>governance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1"/>
        </w:rPr>
        <w:t>for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Initiative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97"/>
        <w:rPr>
          <w:color w:val="000000"/>
        </w:rPr>
      </w:pPr>
      <w:r>
        <w:rPr>
          <w:color w:val="000000"/>
        </w:rPr>
        <w:t>Research</w:t>
      </w:r>
      <w:r>
        <w:rPr>
          <w:color w:val="000000"/>
          <w:spacing w:val="-30"/>
        </w:rPr>
        <w:t xml:space="preserve"> </w:t>
      </w:r>
      <w:r>
        <w:rPr>
          <w:color w:val="000000"/>
          <w:spacing w:val="-1"/>
        </w:rPr>
        <w:t>activities</w:t>
      </w:r>
    </w:p>
    <w:p w:rsidR="00732A75" w:rsidRDefault="00732A75">
      <w:pPr>
        <w:pStyle w:val="BodyText"/>
        <w:numPr>
          <w:ilvl w:val="1"/>
          <w:numId w:val="1"/>
        </w:numPr>
        <w:tabs>
          <w:tab w:val="left" w:pos="1699"/>
        </w:tabs>
        <w:kinsoku w:val="0"/>
        <w:overflowPunct w:val="0"/>
        <w:spacing w:before="105"/>
        <w:rPr>
          <w:color w:val="000000"/>
          <w:sz w:val="36"/>
          <w:szCs w:val="36"/>
        </w:rPr>
      </w:pPr>
      <w:r>
        <w:rPr>
          <w:color w:val="000000"/>
          <w:spacing w:val="-1"/>
          <w:sz w:val="36"/>
          <w:szCs w:val="36"/>
        </w:rPr>
        <w:t>Market</w:t>
      </w:r>
      <w:r>
        <w:rPr>
          <w:color w:val="000000"/>
          <w:spacing w:val="2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research</w:t>
      </w:r>
    </w:p>
    <w:p w:rsidR="00732A75" w:rsidRDefault="00732A75">
      <w:pPr>
        <w:pStyle w:val="BodyText"/>
        <w:numPr>
          <w:ilvl w:val="1"/>
          <w:numId w:val="1"/>
        </w:numPr>
        <w:tabs>
          <w:tab w:val="left" w:pos="1699"/>
        </w:tabs>
        <w:kinsoku w:val="0"/>
        <w:overflowPunct w:val="0"/>
        <w:spacing w:before="104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Literature</w:t>
      </w:r>
      <w:r>
        <w:rPr>
          <w:color w:val="000000"/>
          <w:spacing w:val="-6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review</w:t>
      </w:r>
    </w:p>
    <w:p w:rsidR="00732A75" w:rsidRDefault="00732A75">
      <w:pPr>
        <w:pStyle w:val="BodyText"/>
        <w:numPr>
          <w:ilvl w:val="1"/>
          <w:numId w:val="1"/>
        </w:numPr>
        <w:tabs>
          <w:tab w:val="left" w:pos="1699"/>
        </w:tabs>
        <w:kinsoku w:val="0"/>
        <w:overflowPunct w:val="0"/>
        <w:spacing w:before="104" w:line="250" w:lineRule="auto"/>
        <w:ind w:right="1220"/>
        <w:rPr>
          <w:color w:val="000000"/>
          <w:spacing w:val="-2"/>
          <w:sz w:val="36"/>
          <w:szCs w:val="36"/>
        </w:rPr>
      </w:pPr>
      <w:r>
        <w:rPr>
          <w:color w:val="000000"/>
          <w:sz w:val="36"/>
          <w:szCs w:val="36"/>
        </w:rPr>
        <w:t>Input from</w:t>
      </w:r>
      <w:r>
        <w:rPr>
          <w:color w:val="000000"/>
          <w:spacing w:val="-6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other</w:t>
      </w:r>
      <w:r>
        <w:rPr>
          <w:color w:val="000000"/>
          <w:spacing w:val="-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health</w:t>
      </w:r>
      <w:r>
        <w:rPr>
          <w:color w:val="000000"/>
          <w:spacing w:val="-7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information</w:t>
      </w:r>
      <w:r>
        <w:rPr>
          <w:color w:val="000000"/>
          <w:spacing w:val="-1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providers;</w:t>
      </w:r>
      <w:r>
        <w:rPr>
          <w:color w:val="000000"/>
          <w:spacing w:val="-9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the</w:t>
      </w:r>
      <w:r>
        <w:rPr>
          <w:color w:val="000000"/>
          <w:spacing w:val="-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Health</w:t>
      </w:r>
      <w:r>
        <w:rPr>
          <w:color w:val="000000"/>
          <w:spacing w:val="-7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Communications</w:t>
      </w:r>
      <w:r>
        <w:rPr>
          <w:color w:val="000000"/>
          <w:spacing w:val="80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Branch,</w:t>
      </w:r>
      <w:r>
        <w:rPr>
          <w:color w:val="000000"/>
          <w:spacing w:val="-7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 xml:space="preserve">NPS </w:t>
      </w:r>
      <w:proofErr w:type="spellStart"/>
      <w:r>
        <w:rPr>
          <w:color w:val="000000"/>
          <w:spacing w:val="1"/>
          <w:sz w:val="36"/>
          <w:szCs w:val="36"/>
        </w:rPr>
        <w:t>MedicineWise</w:t>
      </w:r>
      <w:proofErr w:type="spellEnd"/>
      <w:r>
        <w:rPr>
          <w:color w:val="000000"/>
          <w:spacing w:val="-1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and</w:t>
      </w:r>
      <w:r>
        <w:rPr>
          <w:color w:val="000000"/>
          <w:spacing w:val="-13"/>
          <w:sz w:val="36"/>
          <w:szCs w:val="36"/>
        </w:rPr>
        <w:t xml:space="preserve"> </w:t>
      </w:r>
      <w:r>
        <w:rPr>
          <w:color w:val="000000"/>
          <w:spacing w:val="-2"/>
          <w:sz w:val="36"/>
          <w:szCs w:val="36"/>
        </w:rPr>
        <w:t>TGA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97"/>
        <w:rPr>
          <w:color w:val="000000"/>
        </w:rPr>
      </w:pPr>
      <w:r>
        <w:rPr>
          <w:color w:val="000000"/>
        </w:rPr>
        <w:t>Development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20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communications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strategy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  <w:spacing w:val="-1"/>
        </w:rPr>
        <w:t>Stakeholder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identification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21"/>
        </w:rPr>
        <w:t xml:space="preserve"> </w:t>
      </w:r>
      <w:r>
        <w:rPr>
          <w:color w:val="000000"/>
          <w:spacing w:val="-2"/>
        </w:rPr>
        <w:t>analysis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</w:rPr>
        <w:t>Development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core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themes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1"/>
        </w:rPr>
        <w:t>for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Initiative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rPr>
          <w:color w:val="000000"/>
        </w:rPr>
        <w:sectPr w:rsidR="00732A75">
          <w:footerReference w:type="default" r:id="rId24"/>
          <w:pgSz w:w="16840" w:h="11910" w:orient="landscape"/>
          <w:pgMar w:top="2500" w:right="1100" w:bottom="940" w:left="1100" w:header="552" w:footer="750" w:gutter="0"/>
          <w:pgNumType w:start="5"/>
          <w:cols w:space="720"/>
          <w:noEndnote/>
        </w:sectPr>
      </w:pPr>
    </w:p>
    <w:p w:rsidR="00732A75" w:rsidRDefault="00732A75">
      <w:pPr>
        <w:pStyle w:val="BodyText"/>
        <w:kinsoku w:val="0"/>
        <w:overflowPunct w:val="0"/>
        <w:spacing w:before="8"/>
        <w:ind w:left="0" w:firstLine="0"/>
        <w:rPr>
          <w:sz w:val="7"/>
          <w:szCs w:val="7"/>
        </w:rPr>
      </w:pPr>
    </w:p>
    <w:p w:rsidR="006C0021" w:rsidRPr="00A83E9B" w:rsidRDefault="00732A75" w:rsidP="00A83E9B">
      <w:pPr>
        <w:pStyle w:val="Heading1"/>
        <w:jc w:val="center"/>
        <w:rPr>
          <w:b/>
          <w:sz w:val="72"/>
          <w:szCs w:val="72"/>
        </w:rPr>
      </w:pPr>
      <w:r w:rsidRPr="00A83E9B">
        <w:rPr>
          <w:b/>
          <w:spacing w:val="-21"/>
          <w:sz w:val="72"/>
          <w:szCs w:val="72"/>
        </w:rPr>
        <w:t>R</w:t>
      </w:r>
      <w:r w:rsidRPr="00A83E9B">
        <w:rPr>
          <w:b/>
          <w:sz w:val="72"/>
          <w:szCs w:val="72"/>
        </w:rPr>
        <w:t>ESEA</w:t>
      </w:r>
      <w:r w:rsidRPr="00A83E9B">
        <w:rPr>
          <w:b/>
          <w:spacing w:val="-21"/>
          <w:sz w:val="72"/>
          <w:szCs w:val="72"/>
        </w:rPr>
        <w:t>RC</w:t>
      </w:r>
      <w:r w:rsidRPr="00A83E9B">
        <w:rPr>
          <w:b/>
          <w:sz w:val="72"/>
          <w:szCs w:val="72"/>
        </w:rPr>
        <w:t>H</w:t>
      </w:r>
      <w:r w:rsidRPr="00A83E9B">
        <w:rPr>
          <w:b/>
          <w:spacing w:val="-92"/>
          <w:sz w:val="72"/>
          <w:szCs w:val="72"/>
        </w:rPr>
        <w:t xml:space="preserve"> </w:t>
      </w:r>
      <w:r w:rsidRPr="00A83E9B">
        <w:rPr>
          <w:b/>
          <w:spacing w:val="-21"/>
          <w:sz w:val="72"/>
          <w:szCs w:val="72"/>
        </w:rPr>
        <w:t>R</w:t>
      </w:r>
      <w:r w:rsidRPr="00A83E9B">
        <w:rPr>
          <w:b/>
          <w:sz w:val="72"/>
          <w:szCs w:val="72"/>
        </w:rPr>
        <w:t>ES</w:t>
      </w:r>
      <w:r w:rsidRPr="00A83E9B">
        <w:rPr>
          <w:b/>
          <w:spacing w:val="-21"/>
          <w:sz w:val="72"/>
          <w:szCs w:val="72"/>
        </w:rPr>
        <w:t>U</w:t>
      </w:r>
      <w:r w:rsidRPr="00A83E9B">
        <w:rPr>
          <w:b/>
          <w:spacing w:val="-68"/>
          <w:sz w:val="72"/>
          <w:szCs w:val="72"/>
        </w:rPr>
        <w:t>L</w:t>
      </w:r>
      <w:r w:rsidRPr="00A83E9B">
        <w:rPr>
          <w:b/>
          <w:spacing w:val="-22"/>
          <w:sz w:val="72"/>
          <w:szCs w:val="72"/>
        </w:rPr>
        <w:t>T</w:t>
      </w:r>
      <w:r w:rsidRPr="00A83E9B">
        <w:rPr>
          <w:b/>
          <w:sz w:val="72"/>
          <w:szCs w:val="72"/>
        </w:rPr>
        <w:t>S</w:t>
      </w:r>
    </w:p>
    <w:p w:rsidR="00732A75" w:rsidRPr="006C0021" w:rsidRDefault="00732A75" w:rsidP="006C0021">
      <w:pPr>
        <w:sectPr w:rsidR="00732A75" w:rsidRPr="006C0021" w:rsidSect="006C0021">
          <w:headerReference w:type="default" r:id="rId25"/>
          <w:footerReference w:type="default" r:id="rId26"/>
          <w:pgSz w:w="16840" w:h="11910" w:orient="landscape"/>
          <w:pgMar w:top="5671" w:right="1100" w:bottom="940" w:left="1100" w:header="0" w:footer="750" w:gutter="0"/>
          <w:pgNumType w:start="6"/>
          <w:cols w:space="720"/>
          <w:noEndnote/>
        </w:sectPr>
      </w:pPr>
    </w:p>
    <w:p w:rsidR="005E1EF0" w:rsidRDefault="005E1EF0" w:rsidP="005E1EF0">
      <w:pPr>
        <w:pStyle w:val="Heading2"/>
        <w:ind w:left="0"/>
        <w:rPr>
          <w:spacing w:val="-41"/>
        </w:rPr>
      </w:pPr>
      <w:r>
        <w:t>Specialists</w:t>
      </w:r>
      <w:r>
        <w:rPr>
          <w:spacing w:val="-52"/>
        </w:rPr>
        <w:t xml:space="preserve"> </w:t>
      </w:r>
    </w:p>
    <w:p w:rsidR="005E1EF0" w:rsidRPr="005E1EF0" w:rsidRDefault="005E1EF0" w:rsidP="005E1EF0">
      <w:pPr>
        <w:pStyle w:val="BodyText"/>
        <w:kinsoku w:val="0"/>
        <w:overflowPunct w:val="0"/>
        <w:spacing w:before="0" w:line="511" w:lineRule="exact"/>
        <w:ind w:left="20" w:firstLine="0"/>
        <w:rPr>
          <w:spacing w:val="-10"/>
          <w:sz w:val="48"/>
          <w:szCs w:val="48"/>
        </w:rPr>
      </w:pPr>
      <w:r>
        <w:rPr>
          <w:spacing w:val="-18"/>
          <w:sz w:val="48"/>
          <w:szCs w:val="48"/>
        </w:rPr>
        <w:t>Perceived</w:t>
      </w:r>
      <w:r>
        <w:rPr>
          <w:spacing w:val="-41"/>
          <w:sz w:val="48"/>
          <w:szCs w:val="48"/>
        </w:rPr>
        <w:t xml:space="preserve"> </w:t>
      </w:r>
      <w:r>
        <w:rPr>
          <w:spacing w:val="-12"/>
          <w:sz w:val="48"/>
          <w:szCs w:val="48"/>
        </w:rPr>
        <w:t>barr</w:t>
      </w:r>
      <w:r>
        <w:rPr>
          <w:spacing w:val="-15"/>
          <w:sz w:val="48"/>
          <w:szCs w:val="48"/>
        </w:rPr>
        <w:t>iers</w:t>
      </w:r>
      <w:r>
        <w:rPr>
          <w:spacing w:val="-48"/>
          <w:sz w:val="48"/>
          <w:szCs w:val="48"/>
        </w:rPr>
        <w:t xml:space="preserve"> </w:t>
      </w:r>
      <w:r>
        <w:rPr>
          <w:spacing w:val="-12"/>
          <w:sz w:val="48"/>
          <w:szCs w:val="48"/>
        </w:rPr>
        <w:t>and</w:t>
      </w:r>
      <w:r>
        <w:rPr>
          <w:spacing w:val="-46"/>
          <w:sz w:val="48"/>
          <w:szCs w:val="48"/>
        </w:rPr>
        <w:t xml:space="preserve"> </w:t>
      </w:r>
      <w:r>
        <w:rPr>
          <w:spacing w:val="-16"/>
          <w:sz w:val="48"/>
          <w:szCs w:val="48"/>
        </w:rPr>
        <w:t>benefits</w:t>
      </w:r>
      <w:r>
        <w:rPr>
          <w:spacing w:val="-57"/>
          <w:sz w:val="48"/>
          <w:szCs w:val="48"/>
        </w:rPr>
        <w:t xml:space="preserve"> </w:t>
      </w:r>
      <w:r>
        <w:rPr>
          <w:spacing w:val="-10"/>
          <w:sz w:val="48"/>
          <w:szCs w:val="48"/>
        </w:rPr>
        <w:t xml:space="preserve">to </w:t>
      </w:r>
      <w:r>
        <w:rPr>
          <w:spacing w:val="-19"/>
          <w:sz w:val="48"/>
          <w:szCs w:val="48"/>
        </w:rPr>
        <w:t>prescribing/dispensing</w:t>
      </w:r>
      <w:r>
        <w:rPr>
          <w:spacing w:val="-55"/>
          <w:sz w:val="48"/>
          <w:szCs w:val="48"/>
        </w:rPr>
        <w:t xml:space="preserve"> </w:t>
      </w:r>
      <w:proofErr w:type="spellStart"/>
      <w:r>
        <w:rPr>
          <w:spacing w:val="-18"/>
          <w:sz w:val="48"/>
          <w:szCs w:val="48"/>
        </w:rPr>
        <w:t>biosimilar</w:t>
      </w:r>
      <w:proofErr w:type="spellEnd"/>
      <w:r>
        <w:rPr>
          <w:spacing w:val="-49"/>
          <w:sz w:val="48"/>
          <w:szCs w:val="48"/>
        </w:rPr>
        <w:t xml:space="preserve"> </w:t>
      </w:r>
      <w:r>
        <w:rPr>
          <w:spacing w:val="-17"/>
          <w:sz w:val="48"/>
          <w:szCs w:val="48"/>
        </w:rPr>
        <w:t>medicines</w:t>
      </w:r>
      <w:r>
        <w:rPr>
          <w:spacing w:val="-52"/>
          <w:sz w:val="48"/>
          <w:szCs w:val="48"/>
        </w:rPr>
        <w:t xml:space="preserve"> </w:t>
      </w:r>
      <w:r>
        <w:rPr>
          <w:spacing w:val="-17"/>
          <w:sz w:val="48"/>
          <w:szCs w:val="48"/>
        </w:rPr>
        <w:t>(n=200)</w:t>
      </w:r>
    </w:p>
    <w:p w:rsidR="00732A75" w:rsidRDefault="00732A75">
      <w:pPr>
        <w:pStyle w:val="BodyText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732A75" w:rsidRDefault="00AD0F03">
      <w:pPr>
        <w:pStyle w:val="BodyText"/>
        <w:kinsoku w:val="0"/>
        <w:overflowPunct w:val="0"/>
        <w:spacing w:before="0" w:line="200" w:lineRule="atLeast"/>
        <w:ind w:left="834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8229600" cy="3557270"/>
            <wp:effectExtent l="0" t="0" r="0" b="5080"/>
            <wp:docPr id="245" name="Picture 245" descr="Two bar charts show data regarding the perceived barriers and benefits for Specialists. The left chart is Barriers (n=128 of 200 surveyed): Evidence to support indication extrapolation 71%; Possible adverse outcomes for patients 61%; Insufficient information for prescribers 59%; Immunogenicity concerns 57%; Insufficient information for patients 54%; Strength of pharmacoviligance activities 53%. The right chart is Benefits (n=170 of 200 surveyed): Lower prices through competition 88%; More affordable for the PBS 84%; Save taxpayers money 84%; More affordable for hospitals 74%; More affordable for patients 58%; Enables more medicines to be listed in the PBS 58%. " title="Specialists – Perceived barriers and benefits to prescribing/dispensing biosimilar medicines (n=2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Two bar charts show data regarding the perceived barriers and benefits for Specialists. The left chart is Barriers (n=128 of 200 surveyed): Evidence to support indication extrapolation 71%; Possible adverse outcomes for patients 61%; Insufficient information for prescribers 59%; Immunogenicity concerns 57%; Insufficient information for patients 54%; Strength of pharmacoviligance activities 53%. The right chart is Benefits (n=170 of 200 surveyed): Lower prices through competition 88%; More affordable for the PBS 84%; Save taxpayers money 84%; More affordable for hospitals 74%; More affordable for patients 58%; Enables more medicines to be listed in the PBS 58%.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A75" w:rsidRDefault="00732A75">
      <w:pPr>
        <w:pStyle w:val="BodyText"/>
        <w:kinsoku w:val="0"/>
        <w:overflowPunct w:val="0"/>
        <w:spacing w:before="0" w:line="200" w:lineRule="atLeast"/>
        <w:ind w:left="834" w:firstLine="0"/>
        <w:rPr>
          <w:rFonts w:ascii="Times New Roman" w:hAnsi="Times New Roman" w:cs="Times New Roman"/>
          <w:sz w:val="20"/>
          <w:szCs w:val="20"/>
        </w:rPr>
        <w:sectPr w:rsidR="00732A75" w:rsidSect="005E1EF0">
          <w:headerReference w:type="default" r:id="rId28"/>
          <w:pgSz w:w="16840" w:h="11910" w:orient="landscape"/>
          <w:pgMar w:top="2694" w:right="1100" w:bottom="940" w:left="1100" w:header="552" w:footer="750" w:gutter="0"/>
          <w:cols w:space="720"/>
          <w:noEndnote/>
        </w:sectPr>
      </w:pPr>
    </w:p>
    <w:p w:rsidR="005E1EF0" w:rsidRDefault="005E1EF0" w:rsidP="005E1EF0">
      <w:pPr>
        <w:pStyle w:val="Heading2"/>
        <w:ind w:left="0"/>
        <w:rPr>
          <w:spacing w:val="-42"/>
        </w:rPr>
      </w:pPr>
      <w:r>
        <w:rPr>
          <w:spacing w:val="-17"/>
        </w:rPr>
        <w:t>General</w:t>
      </w:r>
      <w:r>
        <w:rPr>
          <w:spacing w:val="-48"/>
        </w:rPr>
        <w:t xml:space="preserve"> </w:t>
      </w:r>
      <w:r>
        <w:t>Practitioners</w:t>
      </w:r>
    </w:p>
    <w:p w:rsidR="005E1EF0" w:rsidRPr="005E1EF0" w:rsidRDefault="005E1EF0" w:rsidP="005E1EF0">
      <w:pPr>
        <w:pStyle w:val="BodyText"/>
        <w:kinsoku w:val="0"/>
        <w:overflowPunct w:val="0"/>
        <w:spacing w:before="0" w:line="471" w:lineRule="exact"/>
        <w:ind w:left="20" w:firstLine="0"/>
        <w:rPr>
          <w:spacing w:val="-9"/>
          <w:sz w:val="44"/>
          <w:szCs w:val="44"/>
        </w:rPr>
      </w:pPr>
      <w:r>
        <w:rPr>
          <w:spacing w:val="-19"/>
          <w:sz w:val="44"/>
          <w:szCs w:val="44"/>
        </w:rPr>
        <w:t>Perceived</w:t>
      </w:r>
      <w:r>
        <w:rPr>
          <w:spacing w:val="-42"/>
          <w:sz w:val="44"/>
          <w:szCs w:val="44"/>
        </w:rPr>
        <w:t xml:space="preserve"> </w:t>
      </w:r>
      <w:r>
        <w:rPr>
          <w:spacing w:val="-17"/>
          <w:sz w:val="44"/>
          <w:szCs w:val="44"/>
        </w:rPr>
        <w:t>barriers</w:t>
      </w:r>
      <w:r>
        <w:rPr>
          <w:spacing w:val="-51"/>
          <w:sz w:val="44"/>
          <w:szCs w:val="44"/>
        </w:rPr>
        <w:t xml:space="preserve"> </w:t>
      </w:r>
      <w:r>
        <w:rPr>
          <w:spacing w:val="-14"/>
          <w:sz w:val="44"/>
          <w:szCs w:val="44"/>
        </w:rPr>
        <w:t>and</w:t>
      </w:r>
      <w:r>
        <w:rPr>
          <w:spacing w:val="-42"/>
          <w:sz w:val="44"/>
          <w:szCs w:val="44"/>
        </w:rPr>
        <w:t xml:space="preserve"> </w:t>
      </w:r>
      <w:r>
        <w:rPr>
          <w:spacing w:val="-17"/>
          <w:sz w:val="44"/>
          <w:szCs w:val="44"/>
        </w:rPr>
        <w:t>benefits</w:t>
      </w:r>
      <w:r>
        <w:rPr>
          <w:spacing w:val="-51"/>
          <w:sz w:val="44"/>
          <w:szCs w:val="44"/>
        </w:rPr>
        <w:t xml:space="preserve"> </w:t>
      </w:r>
      <w:r>
        <w:rPr>
          <w:spacing w:val="-9"/>
          <w:sz w:val="44"/>
          <w:szCs w:val="44"/>
        </w:rPr>
        <w:t xml:space="preserve">to </w:t>
      </w:r>
      <w:r>
        <w:rPr>
          <w:spacing w:val="-20"/>
          <w:sz w:val="44"/>
          <w:szCs w:val="44"/>
        </w:rPr>
        <w:t>p</w:t>
      </w:r>
      <w:r>
        <w:rPr>
          <w:spacing w:val="-18"/>
          <w:sz w:val="44"/>
          <w:szCs w:val="44"/>
        </w:rPr>
        <w:t>r</w:t>
      </w:r>
      <w:r>
        <w:rPr>
          <w:spacing w:val="-20"/>
          <w:sz w:val="44"/>
          <w:szCs w:val="44"/>
        </w:rPr>
        <w:t>esc</w:t>
      </w:r>
      <w:r>
        <w:rPr>
          <w:spacing w:val="-18"/>
          <w:sz w:val="44"/>
          <w:szCs w:val="44"/>
        </w:rPr>
        <w:t>r</w:t>
      </w:r>
      <w:r>
        <w:rPr>
          <w:spacing w:val="-22"/>
          <w:sz w:val="44"/>
          <w:szCs w:val="44"/>
        </w:rPr>
        <w:t>i</w:t>
      </w:r>
      <w:r>
        <w:rPr>
          <w:spacing w:val="-20"/>
          <w:sz w:val="44"/>
          <w:szCs w:val="44"/>
        </w:rPr>
        <w:t>b</w:t>
      </w:r>
      <w:r>
        <w:rPr>
          <w:spacing w:val="-22"/>
          <w:sz w:val="44"/>
          <w:szCs w:val="44"/>
        </w:rPr>
        <w:t>i</w:t>
      </w:r>
      <w:r>
        <w:rPr>
          <w:spacing w:val="-20"/>
          <w:sz w:val="44"/>
          <w:szCs w:val="44"/>
        </w:rPr>
        <w:t>n</w:t>
      </w:r>
      <w:r>
        <w:rPr>
          <w:spacing w:val="-16"/>
          <w:sz w:val="44"/>
          <w:szCs w:val="44"/>
        </w:rPr>
        <w:t>g</w:t>
      </w:r>
      <w:r>
        <w:rPr>
          <w:spacing w:val="-22"/>
          <w:sz w:val="44"/>
          <w:szCs w:val="44"/>
        </w:rPr>
        <w:t>/</w:t>
      </w:r>
      <w:r>
        <w:rPr>
          <w:spacing w:val="-20"/>
          <w:sz w:val="44"/>
          <w:szCs w:val="44"/>
        </w:rPr>
        <w:t>d</w:t>
      </w:r>
      <w:r>
        <w:rPr>
          <w:spacing w:val="-22"/>
          <w:sz w:val="44"/>
          <w:szCs w:val="44"/>
        </w:rPr>
        <w:t>i</w:t>
      </w:r>
      <w:r>
        <w:rPr>
          <w:spacing w:val="-20"/>
          <w:sz w:val="44"/>
          <w:szCs w:val="44"/>
        </w:rPr>
        <w:t>spen</w:t>
      </w:r>
      <w:r>
        <w:rPr>
          <w:spacing w:val="-24"/>
          <w:sz w:val="44"/>
          <w:szCs w:val="44"/>
        </w:rPr>
        <w:t>s</w:t>
      </w:r>
      <w:r>
        <w:rPr>
          <w:spacing w:val="-22"/>
          <w:sz w:val="44"/>
          <w:szCs w:val="44"/>
        </w:rPr>
        <w:t>i</w:t>
      </w:r>
      <w:r>
        <w:rPr>
          <w:spacing w:val="-20"/>
          <w:sz w:val="44"/>
          <w:szCs w:val="44"/>
        </w:rPr>
        <w:t>n</w:t>
      </w:r>
      <w:r>
        <w:rPr>
          <w:sz w:val="44"/>
          <w:szCs w:val="44"/>
        </w:rPr>
        <w:t>g</w:t>
      </w:r>
      <w:r>
        <w:rPr>
          <w:spacing w:val="-52"/>
          <w:sz w:val="44"/>
          <w:szCs w:val="44"/>
        </w:rPr>
        <w:t xml:space="preserve"> </w:t>
      </w:r>
      <w:proofErr w:type="spellStart"/>
      <w:r>
        <w:rPr>
          <w:spacing w:val="-20"/>
          <w:sz w:val="44"/>
          <w:szCs w:val="44"/>
        </w:rPr>
        <w:t>b</w:t>
      </w:r>
      <w:r>
        <w:rPr>
          <w:spacing w:val="-22"/>
          <w:sz w:val="44"/>
          <w:szCs w:val="44"/>
        </w:rPr>
        <w:t>i</w:t>
      </w:r>
      <w:r>
        <w:rPr>
          <w:spacing w:val="-20"/>
          <w:sz w:val="44"/>
          <w:szCs w:val="44"/>
        </w:rPr>
        <w:t>os</w:t>
      </w:r>
      <w:r>
        <w:rPr>
          <w:spacing w:val="-22"/>
          <w:sz w:val="44"/>
          <w:szCs w:val="44"/>
        </w:rPr>
        <w:t>i</w:t>
      </w:r>
      <w:r>
        <w:rPr>
          <w:spacing w:val="-18"/>
          <w:sz w:val="44"/>
          <w:szCs w:val="44"/>
        </w:rPr>
        <w:t>m</w:t>
      </w:r>
      <w:r>
        <w:rPr>
          <w:spacing w:val="-22"/>
          <w:sz w:val="44"/>
          <w:szCs w:val="44"/>
        </w:rPr>
        <w:t>il</w:t>
      </w:r>
      <w:r>
        <w:rPr>
          <w:spacing w:val="-20"/>
          <w:sz w:val="44"/>
          <w:szCs w:val="44"/>
        </w:rPr>
        <w:t>a</w:t>
      </w:r>
      <w:r>
        <w:rPr>
          <w:sz w:val="44"/>
          <w:szCs w:val="44"/>
        </w:rPr>
        <w:t>r</w:t>
      </w:r>
      <w:proofErr w:type="spellEnd"/>
      <w:r>
        <w:rPr>
          <w:spacing w:val="-44"/>
          <w:sz w:val="44"/>
          <w:szCs w:val="44"/>
        </w:rPr>
        <w:t xml:space="preserve"> </w:t>
      </w:r>
      <w:r>
        <w:rPr>
          <w:spacing w:val="-18"/>
          <w:sz w:val="44"/>
          <w:szCs w:val="44"/>
        </w:rPr>
        <w:t>m</w:t>
      </w:r>
      <w:r>
        <w:rPr>
          <w:spacing w:val="-20"/>
          <w:sz w:val="44"/>
          <w:szCs w:val="44"/>
        </w:rPr>
        <w:t>ed</w:t>
      </w:r>
      <w:r>
        <w:rPr>
          <w:spacing w:val="-22"/>
          <w:sz w:val="44"/>
          <w:szCs w:val="44"/>
        </w:rPr>
        <w:t>i</w:t>
      </w:r>
      <w:r>
        <w:rPr>
          <w:spacing w:val="-20"/>
          <w:sz w:val="44"/>
          <w:szCs w:val="44"/>
        </w:rPr>
        <w:t>c</w:t>
      </w:r>
      <w:r>
        <w:rPr>
          <w:spacing w:val="-22"/>
          <w:sz w:val="44"/>
          <w:szCs w:val="44"/>
        </w:rPr>
        <w:t>i</w:t>
      </w:r>
      <w:r>
        <w:rPr>
          <w:spacing w:val="-20"/>
          <w:sz w:val="44"/>
          <w:szCs w:val="44"/>
        </w:rPr>
        <w:t>ne</w:t>
      </w:r>
      <w:r>
        <w:rPr>
          <w:sz w:val="44"/>
          <w:szCs w:val="44"/>
        </w:rPr>
        <w:t>s</w:t>
      </w:r>
      <w:r>
        <w:rPr>
          <w:spacing w:val="-46"/>
          <w:sz w:val="44"/>
          <w:szCs w:val="44"/>
        </w:rPr>
        <w:t xml:space="preserve"> </w:t>
      </w:r>
      <w:r>
        <w:rPr>
          <w:spacing w:val="-18"/>
          <w:sz w:val="44"/>
          <w:szCs w:val="44"/>
        </w:rPr>
        <w:t>(</w:t>
      </w:r>
      <w:r>
        <w:rPr>
          <w:spacing w:val="-20"/>
          <w:sz w:val="44"/>
          <w:szCs w:val="44"/>
        </w:rPr>
        <w:t>n</w:t>
      </w:r>
      <w:r>
        <w:rPr>
          <w:spacing w:val="-18"/>
          <w:sz w:val="44"/>
          <w:szCs w:val="44"/>
        </w:rPr>
        <w:t>=</w:t>
      </w:r>
      <w:r>
        <w:rPr>
          <w:spacing w:val="-20"/>
          <w:sz w:val="44"/>
          <w:szCs w:val="44"/>
        </w:rPr>
        <w:t>100</w:t>
      </w:r>
      <w:r>
        <w:rPr>
          <w:sz w:val="44"/>
          <w:szCs w:val="44"/>
        </w:rPr>
        <w:t>)</w:t>
      </w:r>
    </w:p>
    <w:p w:rsidR="00732A75" w:rsidRDefault="00AD0F03" w:rsidP="002037CE">
      <w:pPr>
        <w:pStyle w:val="BodyText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D2C20F2" wp14:editId="00F8C985">
            <wp:extent cx="7973060" cy="3523615"/>
            <wp:effectExtent l="0" t="0" r="8890" b="635"/>
            <wp:docPr id="267" name="Picture 267" descr="Two bar charts show data regarding the perceived barriers and benefits for General Practitioners. The left chart is Barriers (n=56 of 100 surveyed): Insufficient information for prescribers 89%; Possible adverse outcomes for patients 64%; Evidence to support indication extrapolation 63%; Insufficient information for patients 59%; Strength of pharmacoviligance activities 45%; Legal/patient issues 38%. The right chart is Benefits (n=71 of 100 surveyed): Lower prices through competition 66%; More affordable for the PBS 61%; More affordable for patients 59%; Save taxpayers money 55%; Treatment choice 52%; More affordable for hospitals 51%. " title="General Practitioners – Perceived barriers and benefits to prescribing/dispensing biosimilar medicines (n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Two bar charts show data regarding the perceived barriers and benefits for General Practitioners. The left chart is Barriers (n=56 of 100 surveyed): Insufficient information for prescribers 89%; Possible adverse outcomes for patients 64%; Evidence to support indication extrapolation 63%; Insufficient information for patients 59%; Strength of pharmacoviligance activities 45%; Legal/patient issues 38%. The right chart is Benefits (n=71 of 100 surveyed): Lower prices through competition 66%; More affordable for the PBS 61%; More affordable for patients 59%; Save taxpayers money 55%; Treatment choice 52%; More affordable for hospitals 51%.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3060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A75" w:rsidRDefault="00732A75">
      <w:pPr>
        <w:pStyle w:val="BodyText"/>
        <w:kinsoku w:val="0"/>
        <w:overflowPunct w:val="0"/>
        <w:spacing w:before="0" w:line="200" w:lineRule="atLeast"/>
        <w:ind w:left="1040" w:firstLine="0"/>
        <w:rPr>
          <w:rFonts w:ascii="Times New Roman" w:hAnsi="Times New Roman" w:cs="Times New Roman"/>
          <w:sz w:val="20"/>
          <w:szCs w:val="20"/>
        </w:rPr>
        <w:sectPr w:rsidR="00732A75" w:rsidSect="005E1EF0">
          <w:headerReference w:type="default" r:id="rId30"/>
          <w:footerReference w:type="default" r:id="rId31"/>
          <w:pgSz w:w="16840" w:h="11910" w:orient="landscape"/>
          <w:pgMar w:top="2552" w:right="1100" w:bottom="940" w:left="1100" w:header="552" w:footer="750" w:gutter="0"/>
          <w:cols w:space="720"/>
          <w:noEndnote/>
        </w:sectPr>
      </w:pPr>
    </w:p>
    <w:p w:rsidR="005E1EF0" w:rsidRDefault="005E1EF0" w:rsidP="005E1EF0">
      <w:pPr>
        <w:pStyle w:val="Heading2"/>
        <w:ind w:left="0"/>
      </w:pPr>
      <w:r>
        <w:rPr>
          <w:spacing w:val="-17"/>
        </w:rPr>
        <w:t>Community</w:t>
      </w:r>
      <w:r>
        <w:rPr>
          <w:spacing w:val="-57"/>
        </w:rPr>
        <w:t xml:space="preserve"> </w:t>
      </w:r>
      <w:r>
        <w:t>Pharmacists</w:t>
      </w:r>
    </w:p>
    <w:p w:rsidR="005E1EF0" w:rsidRPr="005E1EF0" w:rsidRDefault="005E1EF0" w:rsidP="005E1EF0">
      <w:pPr>
        <w:pStyle w:val="BodyText"/>
        <w:kinsoku w:val="0"/>
        <w:overflowPunct w:val="0"/>
        <w:spacing w:before="0" w:line="511" w:lineRule="exact"/>
        <w:ind w:left="20" w:firstLine="0"/>
        <w:rPr>
          <w:spacing w:val="-10"/>
          <w:sz w:val="48"/>
          <w:szCs w:val="48"/>
        </w:rPr>
      </w:pPr>
      <w:r>
        <w:rPr>
          <w:spacing w:val="-18"/>
          <w:sz w:val="48"/>
          <w:szCs w:val="48"/>
        </w:rPr>
        <w:t>Perceived</w:t>
      </w:r>
      <w:r>
        <w:rPr>
          <w:spacing w:val="-46"/>
          <w:sz w:val="48"/>
          <w:szCs w:val="48"/>
        </w:rPr>
        <w:t xml:space="preserve"> </w:t>
      </w:r>
      <w:r>
        <w:rPr>
          <w:spacing w:val="-12"/>
          <w:sz w:val="48"/>
          <w:szCs w:val="48"/>
        </w:rPr>
        <w:t>barr</w:t>
      </w:r>
      <w:r>
        <w:rPr>
          <w:spacing w:val="-15"/>
          <w:sz w:val="48"/>
          <w:szCs w:val="48"/>
        </w:rPr>
        <w:t>iers</w:t>
      </w:r>
      <w:r>
        <w:rPr>
          <w:spacing w:val="-43"/>
          <w:sz w:val="48"/>
          <w:szCs w:val="48"/>
        </w:rPr>
        <w:t xml:space="preserve"> </w:t>
      </w:r>
      <w:r>
        <w:rPr>
          <w:spacing w:val="-12"/>
          <w:sz w:val="48"/>
          <w:szCs w:val="48"/>
        </w:rPr>
        <w:t>and</w:t>
      </w:r>
      <w:r>
        <w:rPr>
          <w:spacing w:val="-46"/>
          <w:sz w:val="48"/>
          <w:szCs w:val="48"/>
        </w:rPr>
        <w:t xml:space="preserve"> </w:t>
      </w:r>
      <w:r>
        <w:rPr>
          <w:spacing w:val="-17"/>
          <w:sz w:val="48"/>
          <w:szCs w:val="48"/>
        </w:rPr>
        <w:t>benefits</w:t>
      </w:r>
      <w:r>
        <w:rPr>
          <w:spacing w:val="-52"/>
          <w:sz w:val="48"/>
          <w:szCs w:val="48"/>
        </w:rPr>
        <w:t xml:space="preserve"> </w:t>
      </w:r>
      <w:r>
        <w:rPr>
          <w:spacing w:val="-10"/>
          <w:sz w:val="48"/>
          <w:szCs w:val="48"/>
        </w:rPr>
        <w:t xml:space="preserve">to </w:t>
      </w:r>
      <w:r>
        <w:rPr>
          <w:spacing w:val="-19"/>
          <w:sz w:val="48"/>
          <w:szCs w:val="48"/>
        </w:rPr>
        <w:t>prescribing/dispensing</w:t>
      </w:r>
      <w:r>
        <w:rPr>
          <w:spacing w:val="-55"/>
          <w:sz w:val="48"/>
          <w:szCs w:val="48"/>
        </w:rPr>
        <w:t xml:space="preserve"> </w:t>
      </w:r>
      <w:proofErr w:type="spellStart"/>
      <w:r>
        <w:rPr>
          <w:spacing w:val="-18"/>
          <w:sz w:val="48"/>
          <w:szCs w:val="48"/>
        </w:rPr>
        <w:t>biosimilar</w:t>
      </w:r>
      <w:proofErr w:type="spellEnd"/>
      <w:r>
        <w:rPr>
          <w:spacing w:val="-49"/>
          <w:sz w:val="48"/>
          <w:szCs w:val="48"/>
        </w:rPr>
        <w:t xml:space="preserve"> </w:t>
      </w:r>
      <w:r>
        <w:rPr>
          <w:spacing w:val="-17"/>
          <w:sz w:val="48"/>
          <w:szCs w:val="48"/>
        </w:rPr>
        <w:t>medicines</w:t>
      </w:r>
      <w:r>
        <w:rPr>
          <w:spacing w:val="-52"/>
          <w:sz w:val="48"/>
          <w:szCs w:val="48"/>
        </w:rPr>
        <w:t xml:space="preserve"> </w:t>
      </w:r>
      <w:r>
        <w:rPr>
          <w:spacing w:val="-17"/>
          <w:sz w:val="48"/>
          <w:szCs w:val="48"/>
        </w:rPr>
        <w:t>(n=100)</w:t>
      </w:r>
    </w:p>
    <w:p w:rsidR="00732A75" w:rsidRDefault="00732A75">
      <w:pPr>
        <w:pStyle w:val="BodyText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8"/>
          <w:szCs w:val="8"/>
        </w:rPr>
      </w:pPr>
    </w:p>
    <w:p w:rsidR="00732A75" w:rsidRDefault="00AD0F03">
      <w:pPr>
        <w:pStyle w:val="BodyText"/>
        <w:kinsoku w:val="0"/>
        <w:overflowPunct w:val="0"/>
        <w:spacing w:before="0" w:line="200" w:lineRule="atLeast"/>
        <w:ind w:left="834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8229600" cy="4036695"/>
            <wp:effectExtent l="0" t="0" r="0" b="1905"/>
            <wp:docPr id="289" name="Picture 289" descr="Two bar charts show data regarding the perceived barriers and benefits for Community Pharmacists. The left chart is Barriers (n=56 of 100 surveyed): No incentives for patients 61%; Insufficient information for patients 58%; Possible adverse outcomes for patients 50%; Insufficient information for prescribers 50%; No incentives pharmacists 33%; Evidence to support indication extrapolation 31%. The right chart is Benefits (n=87 of 100 surveyed): More affordable for the PBS 80%;  Enables more medicines to be listed in the PBS 66%; More affordable for patients 61%; Save taxpayers money 59%; Mitigate against medicine shortage 52%; Lower prices through competition 47%. " title="Community Pharmacists– Perceived barriers and benefits to prescribing/dispensing biosimilar medicines (n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Two bar charts show data regarding the perceived barriers and benefits for Community Pharmacists. The left chart is Barriers (n=56 of 100 surveyed): No incentives for patients 61%; Insufficient information for patients 58%; Possible adverse outcomes for patients 50%; Insufficient information for prescribers 50%; No incentives pharmacists 33%; Evidence to support indication extrapolation 31%. The right chart is Benefits (n=87 of 100 surveyed): More affordable for the PBS 80%;  Enables more medicines to be listed in the PBS 66%; More affordable for patients 61%; Save taxpayers money 59%; Mitigate against medicine shortage 52%; Lower prices through competition 47%.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A75" w:rsidRDefault="00732A75">
      <w:pPr>
        <w:pStyle w:val="BodyText"/>
        <w:kinsoku w:val="0"/>
        <w:overflowPunct w:val="0"/>
        <w:spacing w:before="0" w:line="200" w:lineRule="atLeast"/>
        <w:ind w:left="834" w:firstLine="0"/>
        <w:rPr>
          <w:rFonts w:ascii="Times New Roman" w:hAnsi="Times New Roman" w:cs="Times New Roman"/>
          <w:sz w:val="20"/>
          <w:szCs w:val="20"/>
        </w:rPr>
        <w:sectPr w:rsidR="00732A75" w:rsidSect="005E1EF0">
          <w:headerReference w:type="default" r:id="rId33"/>
          <w:footerReference w:type="default" r:id="rId34"/>
          <w:pgSz w:w="16840" w:h="11910" w:orient="landscape"/>
          <w:pgMar w:top="2552" w:right="1100" w:bottom="940" w:left="1100" w:header="552" w:footer="750" w:gutter="0"/>
          <w:pgNumType w:start="9"/>
          <w:cols w:space="720"/>
          <w:noEndnote/>
        </w:sectPr>
      </w:pPr>
    </w:p>
    <w:p w:rsidR="00732A75" w:rsidRPr="005E1EF0" w:rsidRDefault="00732A75" w:rsidP="005E1EF0">
      <w:pPr>
        <w:pStyle w:val="Heading1"/>
        <w:jc w:val="center"/>
        <w:rPr>
          <w:sz w:val="72"/>
          <w:szCs w:val="72"/>
        </w:rPr>
      </w:pPr>
      <w:r w:rsidRPr="005E1EF0">
        <w:rPr>
          <w:sz w:val="72"/>
          <w:szCs w:val="72"/>
        </w:rPr>
        <w:t>R</w:t>
      </w:r>
      <w:r w:rsidRPr="005E1EF0">
        <w:rPr>
          <w:spacing w:val="-19"/>
          <w:sz w:val="72"/>
          <w:szCs w:val="72"/>
        </w:rPr>
        <w:t>ES</w:t>
      </w:r>
      <w:r w:rsidRPr="005E1EF0">
        <w:rPr>
          <w:sz w:val="72"/>
          <w:szCs w:val="72"/>
        </w:rPr>
        <w:t>U</w:t>
      </w:r>
      <w:r w:rsidRPr="005E1EF0">
        <w:rPr>
          <w:spacing w:val="-68"/>
          <w:sz w:val="72"/>
          <w:szCs w:val="72"/>
        </w:rPr>
        <w:t>L</w:t>
      </w:r>
      <w:r w:rsidRPr="005E1EF0">
        <w:rPr>
          <w:spacing w:val="-22"/>
          <w:sz w:val="72"/>
          <w:szCs w:val="72"/>
        </w:rPr>
        <w:t>T</w:t>
      </w:r>
      <w:r w:rsidRPr="005E1EF0">
        <w:rPr>
          <w:sz w:val="72"/>
          <w:szCs w:val="72"/>
        </w:rPr>
        <w:t>S</w:t>
      </w:r>
      <w:r w:rsidRPr="005E1EF0">
        <w:rPr>
          <w:spacing w:val="-63"/>
          <w:sz w:val="72"/>
          <w:szCs w:val="72"/>
        </w:rPr>
        <w:t xml:space="preserve"> </w:t>
      </w:r>
      <w:r w:rsidRPr="005E1EF0">
        <w:rPr>
          <w:spacing w:val="-22"/>
          <w:sz w:val="72"/>
          <w:szCs w:val="72"/>
        </w:rPr>
        <w:t>F</w:t>
      </w:r>
      <w:r w:rsidRPr="005E1EF0">
        <w:rPr>
          <w:spacing w:val="-23"/>
          <w:sz w:val="72"/>
          <w:szCs w:val="72"/>
        </w:rPr>
        <w:t>O</w:t>
      </w:r>
      <w:r w:rsidRPr="005E1EF0">
        <w:rPr>
          <w:sz w:val="72"/>
          <w:szCs w:val="72"/>
        </w:rPr>
        <w:t>R</w:t>
      </w:r>
      <w:r w:rsidRPr="005E1EF0">
        <w:rPr>
          <w:spacing w:val="-64"/>
          <w:sz w:val="72"/>
          <w:szCs w:val="72"/>
        </w:rPr>
        <w:t xml:space="preserve"> </w:t>
      </w:r>
      <w:r w:rsidRPr="005E1EF0">
        <w:rPr>
          <w:spacing w:val="-67"/>
          <w:sz w:val="72"/>
          <w:szCs w:val="72"/>
        </w:rPr>
        <w:t>PA</w:t>
      </w:r>
      <w:r w:rsidRPr="005E1EF0">
        <w:rPr>
          <w:spacing w:val="-22"/>
          <w:sz w:val="72"/>
          <w:szCs w:val="72"/>
        </w:rPr>
        <w:t>T</w:t>
      </w:r>
      <w:r w:rsidRPr="005E1EF0">
        <w:rPr>
          <w:sz w:val="72"/>
          <w:szCs w:val="72"/>
        </w:rPr>
        <w:t>I</w:t>
      </w:r>
      <w:r w:rsidRPr="005E1EF0">
        <w:rPr>
          <w:spacing w:val="-19"/>
          <w:sz w:val="72"/>
          <w:szCs w:val="72"/>
        </w:rPr>
        <w:t>E</w:t>
      </w:r>
      <w:r w:rsidRPr="005E1EF0">
        <w:rPr>
          <w:sz w:val="72"/>
          <w:szCs w:val="72"/>
        </w:rPr>
        <w:t>N</w:t>
      </w:r>
      <w:r w:rsidRPr="005E1EF0">
        <w:rPr>
          <w:spacing w:val="-22"/>
          <w:sz w:val="72"/>
          <w:szCs w:val="72"/>
        </w:rPr>
        <w:t>T</w:t>
      </w:r>
      <w:r w:rsidRPr="005E1EF0">
        <w:rPr>
          <w:sz w:val="72"/>
          <w:szCs w:val="72"/>
        </w:rPr>
        <w:t>S</w:t>
      </w:r>
      <w:r w:rsidRPr="005E1EF0">
        <w:rPr>
          <w:spacing w:val="-89"/>
          <w:sz w:val="72"/>
          <w:szCs w:val="72"/>
        </w:rPr>
        <w:t xml:space="preserve"> </w:t>
      </w:r>
      <w:r w:rsidRPr="005E1EF0">
        <w:rPr>
          <w:spacing w:val="-19"/>
          <w:sz w:val="72"/>
          <w:szCs w:val="72"/>
        </w:rPr>
        <w:t>A</w:t>
      </w:r>
      <w:r w:rsidRPr="005E1EF0">
        <w:rPr>
          <w:sz w:val="72"/>
          <w:szCs w:val="72"/>
        </w:rPr>
        <w:t>ND</w:t>
      </w:r>
      <w:r w:rsidRPr="005E1EF0">
        <w:rPr>
          <w:spacing w:val="-64"/>
          <w:sz w:val="72"/>
          <w:szCs w:val="72"/>
        </w:rPr>
        <w:t xml:space="preserve"> </w:t>
      </w:r>
      <w:r w:rsidRPr="005E1EF0">
        <w:rPr>
          <w:sz w:val="72"/>
          <w:szCs w:val="72"/>
        </w:rPr>
        <w:t>C</w:t>
      </w:r>
      <w:r w:rsidRPr="005E1EF0">
        <w:rPr>
          <w:spacing w:val="-19"/>
          <w:sz w:val="72"/>
          <w:szCs w:val="72"/>
        </w:rPr>
        <w:t>A</w:t>
      </w:r>
      <w:r w:rsidRPr="005E1EF0">
        <w:rPr>
          <w:sz w:val="72"/>
          <w:szCs w:val="72"/>
        </w:rPr>
        <w:t>R</w:t>
      </w:r>
      <w:r w:rsidRPr="005E1EF0">
        <w:rPr>
          <w:spacing w:val="-19"/>
          <w:sz w:val="72"/>
          <w:szCs w:val="72"/>
        </w:rPr>
        <w:t>E</w:t>
      </w:r>
      <w:r w:rsidRPr="005E1EF0">
        <w:rPr>
          <w:sz w:val="72"/>
          <w:szCs w:val="72"/>
        </w:rPr>
        <w:t>RS</w:t>
      </w:r>
    </w:p>
    <w:p w:rsidR="00732A75" w:rsidRDefault="00732A75">
      <w:pPr>
        <w:pStyle w:val="BodyText"/>
        <w:kinsoku w:val="0"/>
        <w:overflowPunct w:val="0"/>
        <w:spacing w:before="0" w:line="20" w:lineRule="atLeast"/>
        <w:ind w:left="828" w:firstLine="0"/>
        <w:rPr>
          <w:sz w:val="2"/>
          <w:szCs w:val="2"/>
        </w:rPr>
      </w:pPr>
    </w:p>
    <w:p w:rsidR="00732A75" w:rsidRDefault="00732A75">
      <w:pPr>
        <w:pStyle w:val="BodyText"/>
        <w:kinsoku w:val="0"/>
        <w:overflowPunct w:val="0"/>
        <w:spacing w:before="0" w:line="20" w:lineRule="atLeast"/>
        <w:ind w:left="828" w:firstLine="0"/>
        <w:rPr>
          <w:sz w:val="2"/>
          <w:szCs w:val="2"/>
        </w:rPr>
        <w:sectPr w:rsidR="00732A75" w:rsidSect="003672F7">
          <w:headerReference w:type="default" r:id="rId35"/>
          <w:pgSz w:w="16840" w:h="11910" w:orient="landscape"/>
          <w:pgMar w:top="5954" w:right="1100" w:bottom="940" w:left="1100" w:header="552" w:footer="750" w:gutter="0"/>
          <w:cols w:space="720"/>
          <w:noEndnote/>
        </w:sectPr>
      </w:pPr>
    </w:p>
    <w:p w:rsidR="00732A75" w:rsidRPr="005B2CED" w:rsidRDefault="00732A75" w:rsidP="005E1EF0">
      <w:pPr>
        <w:pStyle w:val="Heading2"/>
        <w:ind w:left="0"/>
        <w:rPr>
          <w:sz w:val="48"/>
          <w:szCs w:val="48"/>
        </w:rPr>
      </w:pPr>
      <w:r w:rsidRPr="005B2CED">
        <w:rPr>
          <w:sz w:val="48"/>
          <w:szCs w:val="48"/>
        </w:rPr>
        <w:t>Profile</w:t>
      </w:r>
      <w:r w:rsidRPr="005B2CED">
        <w:rPr>
          <w:spacing w:val="-51"/>
          <w:sz w:val="48"/>
          <w:szCs w:val="48"/>
        </w:rPr>
        <w:t xml:space="preserve"> </w:t>
      </w:r>
      <w:r w:rsidRPr="005B2CED">
        <w:rPr>
          <w:spacing w:val="-10"/>
          <w:sz w:val="48"/>
          <w:szCs w:val="48"/>
        </w:rPr>
        <w:t>of</w:t>
      </w:r>
      <w:r w:rsidRPr="005B2CED">
        <w:rPr>
          <w:spacing w:val="-43"/>
          <w:sz w:val="48"/>
          <w:szCs w:val="48"/>
        </w:rPr>
        <w:t xml:space="preserve"> </w:t>
      </w:r>
      <w:r w:rsidRPr="005B2CED">
        <w:rPr>
          <w:sz w:val="48"/>
          <w:szCs w:val="48"/>
        </w:rPr>
        <w:t>Patients</w:t>
      </w:r>
      <w:r w:rsidRPr="005B2CED">
        <w:rPr>
          <w:spacing w:val="-53"/>
          <w:sz w:val="48"/>
          <w:szCs w:val="48"/>
        </w:rPr>
        <w:t xml:space="preserve"> </w:t>
      </w:r>
      <w:r w:rsidRPr="005B2CED">
        <w:rPr>
          <w:sz w:val="48"/>
          <w:szCs w:val="48"/>
        </w:rPr>
        <w:t>Included</w:t>
      </w:r>
      <w:r w:rsidRPr="005B2CED">
        <w:rPr>
          <w:spacing w:val="-51"/>
          <w:sz w:val="48"/>
          <w:szCs w:val="48"/>
        </w:rPr>
        <w:t xml:space="preserve"> </w:t>
      </w:r>
      <w:r w:rsidRPr="005B2CED">
        <w:rPr>
          <w:spacing w:val="-10"/>
          <w:sz w:val="48"/>
          <w:szCs w:val="48"/>
        </w:rPr>
        <w:t>in</w:t>
      </w:r>
      <w:r w:rsidRPr="005B2CED">
        <w:rPr>
          <w:spacing w:val="-41"/>
          <w:sz w:val="48"/>
          <w:szCs w:val="48"/>
        </w:rPr>
        <w:t xml:space="preserve"> </w:t>
      </w:r>
      <w:r w:rsidRPr="005B2CED">
        <w:rPr>
          <w:spacing w:val="-13"/>
          <w:sz w:val="48"/>
          <w:szCs w:val="48"/>
        </w:rPr>
        <w:t>the</w:t>
      </w:r>
      <w:r w:rsidRPr="005B2CED">
        <w:rPr>
          <w:spacing w:val="-46"/>
          <w:sz w:val="48"/>
          <w:szCs w:val="48"/>
        </w:rPr>
        <w:t xml:space="preserve"> </w:t>
      </w:r>
      <w:r w:rsidRPr="005B2CED">
        <w:rPr>
          <w:sz w:val="48"/>
          <w:szCs w:val="48"/>
        </w:rPr>
        <w:t>Research</w:t>
      </w:r>
      <w:r w:rsidRPr="005B2CED">
        <w:rPr>
          <w:spacing w:val="-51"/>
          <w:sz w:val="48"/>
          <w:szCs w:val="48"/>
        </w:rPr>
        <w:t xml:space="preserve"> </w:t>
      </w:r>
      <w:r w:rsidRPr="005B2CED">
        <w:rPr>
          <w:sz w:val="48"/>
          <w:szCs w:val="48"/>
        </w:rPr>
        <w:t>Sample</w:t>
      </w:r>
    </w:p>
    <w:p w:rsidR="00732A75" w:rsidRDefault="00732A75">
      <w:pPr>
        <w:pStyle w:val="BodyText"/>
        <w:kinsoku w:val="0"/>
        <w:overflowPunct w:val="0"/>
        <w:spacing w:before="3"/>
        <w:ind w:left="0" w:firstLine="0"/>
        <w:rPr>
          <w:sz w:val="21"/>
          <w:szCs w:val="21"/>
        </w:rPr>
      </w:pPr>
    </w:p>
    <w:p w:rsidR="00732A75" w:rsidRDefault="00AD0F03">
      <w:pPr>
        <w:pStyle w:val="BodyText"/>
        <w:kinsoku w:val="0"/>
        <w:overflowPunct w:val="0"/>
        <w:spacing w:before="0" w:line="200" w:lineRule="atLeast"/>
        <w:ind w:left="828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41E68B1B" wp14:editId="4473738F">
                <wp:extent cx="8237220" cy="4685665"/>
                <wp:effectExtent l="9525" t="9525" r="1905" b="635"/>
                <wp:docPr id="179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37220" cy="4685665"/>
                          <a:chOff x="0" y="0"/>
                          <a:chExt cx="12972" cy="7379"/>
                        </a:xfrm>
                      </wpg:grpSpPr>
                      <wps:wsp>
                        <wps:cNvPr id="180" name="Freeform 19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2960" cy="20"/>
                          </a:xfrm>
                          <a:custGeom>
                            <a:avLst/>
                            <a:gdLst>
                              <a:gd name="T0" fmla="*/ 0 w 12960"/>
                              <a:gd name="T1" fmla="*/ 0 h 20"/>
                              <a:gd name="T2" fmla="*/ 12960 w 129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960" h="20">
                                <a:moveTo>
                                  <a:pt x="0" y="0"/>
                                </a:moveTo>
                                <a:lnTo>
                                  <a:pt x="129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1076" y="63"/>
                            <a:ext cx="10400" cy="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2A75" w:rsidRDefault="00AD0F03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3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69C9717" wp14:editId="705D3A73">
                                    <wp:extent cx="6612890" cy="4650105"/>
                                    <wp:effectExtent l="0" t="0" r="0" b="0"/>
                                    <wp:docPr id="361" name="Picture 361" descr="A bar chart shows data regarding patients included in the research sample (n=165): Diabetes 48%; Rheumatoid arthritis 35%; Psoriatic arthritis 14%; Crohns disease 9%; Ankylosing spondylitis 8%; Treatment of anaemia in renal disease 5%; Malignant melanoma 5%; Juvenile idiopathic arthritis 5%; Chronic plaque psoriasis 5%; Active polyarthritis 5%; Metastatic colorectal cancer 3%; Chronic lymphocytic leukaemia (CLL) 2%; None of the above 0%. " title="Profile of Patients Included in the Research Sampl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61" descr="A bar chart shows data regarding patients included in the research sample (n=165): Diabetes 48%; Rheumatoid arthritis 35%; Psoriatic arthritis 14%; Crohns disease 9%; Ankylosing spondylitis 8%; Treatment of anaemia in renal disease 5%; Malignant melanoma 5%; Juvenile idiopathic arthritis 5%; Chronic plaque psoriasis 5%; Active polyarthritis 5%; Metastatic colorectal cancer 3%; Chronic lymphocytic leukaemia (CLL) 2%; None of the above 0%. 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612890" cy="46501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732A75" w:rsidRDefault="00732A7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4" o:spid="_x0000_s1032" style="width:648.6pt;height:368.95pt;mso-position-horizontal-relative:char;mso-position-vertical-relative:line" coordsize="12972,7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">
                <v:shape id="Freeform 195" o:spid="_x0000_s1033" style="position:absolute;left:5;top:5;width:12960;height:20;visibility:visible;mso-wrap-style:square;v-text-anchor:top" coordsize="129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px8MQA&#10;AADcAAAADwAAAGRycy9kb3ducmV2LnhtbESPQW/CMAyF75P4D5En7TZSOEyoIyA0qRIHDoWxu9WY&#10;plrjVEkoZb9+PiBxs/We3/u83k6+VyPF1AU2sJgXoIibYDtuDZy/q/cVqJSRLfaBycCdEmw3s5c1&#10;ljbc+EjjKbdKQjiVaMDlPJRap8aRxzQPA7FolxA9Zlljq23Em4T7Xi+L4kN77FgaHA705aj5PV29&#10;gapa1pfd+HOv/fmvPiwOx3EfnTFvr9PuE1SmKT/Nj+u9FfyV4MszMoH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6cfDEAAAA3AAAAA8AAAAAAAAAAAAAAAAAmAIAAGRycy9k&#10;b3ducmV2LnhtbFBLBQYAAAAABAAEAPUAAACJAwAAAAA=&#10;" path="m,l12960,e" filled="f" strokecolor="gray" strokeweight=".58pt">
                  <v:path arrowok="t" o:connecttype="custom" o:connectlocs="0,0;12960,0" o:connectangles="0,0"/>
                </v:shape>
                <v:rect id="Rectangle 196" o:spid="_x0000_s1034" style="position:absolute;left:1076;top:63;width:10400;height:7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Ki8MA&#10;AADc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GQFf8+EC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Ki8MAAADcAAAADwAAAAAAAAAAAAAAAACYAgAAZHJzL2Rv&#10;d25yZXYueG1sUEsFBgAAAAAEAAQA9QAAAIgDAAAAAA==&#10;" filled="f" stroked="f">
                  <v:textbox inset="0,0,0,0">
                    <w:txbxContent>
                      <w:p w:rsidR="00732A75" w:rsidRDefault="00AD0F03">
                        <w:pPr>
                          <w:widowControl/>
                          <w:autoSpaceDE/>
                          <w:autoSpaceDN/>
                          <w:adjustRightInd/>
                          <w:spacing w:line="73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69C9717" wp14:editId="705D3A73">
                              <wp:extent cx="6612890" cy="4650105"/>
                              <wp:effectExtent l="0" t="0" r="0" b="0"/>
                              <wp:docPr id="361" name="Picture 361" descr="A bar chart shows data regarding patients included in the research sample (n=165): Diabetes 48%; Rheumatoid arthritis 35%; Psoriatic arthritis 14%; Crohns disease 9%; Ankylosing spondylitis 8%; Treatment of anaemia in renal disease 5%; Malignant melanoma 5%; Juvenile idiopathic arthritis 5%; Chronic plaque psoriasis 5%; Active polyarthritis 5%; Metastatic colorectal cancer 3%; Chronic lymphocytic leukaemia (CLL) 2%; None of the above 0%. " title="Profile of Patients Included in the Research Sampl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1" descr="A bar chart shows data regarding patients included in the research sample (n=165): Diabetes 48%; Rheumatoid arthritis 35%; Psoriatic arthritis 14%; Crohns disease 9%; Ankylosing spondylitis 8%; Treatment of anaemia in renal disease 5%; Malignant melanoma 5%; Juvenile idiopathic arthritis 5%; Chronic plaque psoriasis 5%; Active polyarthritis 5%; Metastatic colorectal cancer 3%; Chronic lymphocytic leukaemia (CLL) 2%; None of the above 0%. 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612890" cy="46501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32A75" w:rsidRDefault="00732A75"/>
                    </w:txbxContent>
                  </v:textbox>
                </v:rect>
                <w10:anchorlock/>
              </v:group>
            </w:pict>
          </mc:Fallback>
        </mc:AlternateContent>
      </w:r>
    </w:p>
    <w:p w:rsidR="00732A75" w:rsidRDefault="00732A75">
      <w:pPr>
        <w:pStyle w:val="BodyText"/>
        <w:kinsoku w:val="0"/>
        <w:overflowPunct w:val="0"/>
        <w:spacing w:before="0" w:line="200" w:lineRule="atLeast"/>
        <w:ind w:left="114" w:firstLine="0"/>
        <w:rPr>
          <w:sz w:val="20"/>
          <w:szCs w:val="20"/>
        </w:rPr>
      </w:pPr>
    </w:p>
    <w:p w:rsidR="00732A75" w:rsidRDefault="00732A75">
      <w:pPr>
        <w:pStyle w:val="BodyText"/>
        <w:kinsoku w:val="0"/>
        <w:overflowPunct w:val="0"/>
        <w:spacing w:before="0" w:line="200" w:lineRule="atLeast"/>
        <w:ind w:left="114" w:firstLine="0"/>
        <w:rPr>
          <w:sz w:val="20"/>
          <w:szCs w:val="20"/>
        </w:rPr>
        <w:sectPr w:rsidR="00732A75">
          <w:headerReference w:type="default" r:id="rId38"/>
          <w:footerReference w:type="default" r:id="rId39"/>
          <w:pgSz w:w="16840" w:h="11910" w:orient="landscape"/>
          <w:pgMar w:top="2500" w:right="1100" w:bottom="280" w:left="1100" w:header="552" w:footer="0" w:gutter="0"/>
          <w:cols w:space="720"/>
          <w:noEndnote/>
        </w:sectPr>
      </w:pPr>
    </w:p>
    <w:p w:rsidR="00732A75" w:rsidRPr="005E1EF0" w:rsidRDefault="005E1EF0" w:rsidP="005E1EF0">
      <w:pPr>
        <w:pStyle w:val="Heading2"/>
        <w:ind w:left="0"/>
      </w:pPr>
      <w:r>
        <w:rPr>
          <w:spacing w:val="-17"/>
        </w:rPr>
        <w:t>Sources</w:t>
      </w:r>
      <w:r>
        <w:rPr>
          <w:spacing w:val="-48"/>
        </w:rPr>
        <w:t xml:space="preserve"> </w:t>
      </w:r>
      <w:r>
        <w:rPr>
          <w:spacing w:val="-10"/>
        </w:rPr>
        <w:t>of</w:t>
      </w:r>
      <w:r>
        <w:rPr>
          <w:spacing w:val="-43"/>
        </w:rPr>
        <w:t xml:space="preserve"> </w:t>
      </w:r>
      <w:r>
        <w:t>Information</w:t>
      </w:r>
      <w:r>
        <w:rPr>
          <w:spacing w:val="-56"/>
        </w:rPr>
        <w:t xml:space="preserve"> </w:t>
      </w:r>
      <w:r>
        <w:rPr>
          <w:spacing w:val="-13"/>
        </w:rPr>
        <w:t>for</w:t>
      </w:r>
      <w:r>
        <w:rPr>
          <w:spacing w:val="-46"/>
        </w:rPr>
        <w:t xml:space="preserve"> </w:t>
      </w:r>
      <w:r>
        <w:t>Consumers</w:t>
      </w:r>
    </w:p>
    <w:tbl>
      <w:tblPr>
        <w:tblStyle w:val="TableGrid"/>
        <w:tblW w:w="0" w:type="auto"/>
        <w:tblLayout w:type="fixed"/>
        <w:tblLook w:val="0620" w:firstRow="1" w:lastRow="0" w:firstColumn="0" w:lastColumn="0" w:noHBand="1" w:noVBand="1"/>
        <w:tblCaption w:val="Sources of Information for Consumers"/>
        <w:tblDescription w:val="A table shows data regarding sources of information for consumers. In the left column Biologic Medicines (n=198): GP 28%; General information on line 23%; Pharmacist 18%; Word of mouth 18%; Specialist 17%; Communication from national peak bodies 17%. In the right column Biosimilar Medicines (m=168): GP 24%; Pharmacist 17%; Word of mouth 17%; Online information from Department of Health 16%; General information online 15%; Specialist 15%."/>
      </w:tblPr>
      <w:tblGrid>
        <w:gridCol w:w="4486"/>
        <w:gridCol w:w="1746"/>
        <w:gridCol w:w="4559"/>
        <w:gridCol w:w="2169"/>
      </w:tblGrid>
      <w:tr w:rsidR="00025B50" w:rsidRPr="00025B50" w:rsidTr="00025B50">
        <w:trPr>
          <w:trHeight w:hRule="exact" w:val="806"/>
          <w:tblHeader/>
        </w:trPr>
        <w:tc>
          <w:tcPr>
            <w:tcW w:w="4486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70"/>
              <w:ind w:left="609"/>
            </w:pPr>
            <w:r w:rsidRPr="00025B50">
              <w:rPr>
                <w:rFonts w:ascii="Arial" w:hAnsi="Arial" w:cs="Arial"/>
                <w:b/>
                <w:bCs/>
                <w:sz w:val="36"/>
                <w:szCs w:val="36"/>
              </w:rPr>
              <w:t>Biologic</w:t>
            </w:r>
            <w:r w:rsidRPr="00025B50">
              <w:rPr>
                <w:rFonts w:ascii="Arial" w:hAnsi="Arial" w:cs="Arial"/>
                <w:b/>
                <w:bCs/>
                <w:spacing w:val="-2"/>
                <w:sz w:val="36"/>
                <w:szCs w:val="36"/>
              </w:rPr>
              <w:t xml:space="preserve"> </w:t>
            </w:r>
            <w:r w:rsidRPr="00025B50">
              <w:rPr>
                <w:rFonts w:ascii="Arial" w:hAnsi="Arial" w:cs="Arial"/>
                <w:b/>
                <w:bCs/>
                <w:sz w:val="36"/>
                <w:szCs w:val="36"/>
              </w:rPr>
              <w:t>Medicines</w:t>
            </w:r>
          </w:p>
        </w:tc>
        <w:tc>
          <w:tcPr>
            <w:tcW w:w="1746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67"/>
              <w:ind w:left="669"/>
            </w:pPr>
            <w:r w:rsidRPr="00025B50">
              <w:rPr>
                <w:rFonts w:ascii="Arial" w:hAnsi="Arial" w:cs="Arial"/>
                <w:b/>
                <w:bCs/>
                <w:spacing w:val="-1"/>
              </w:rPr>
              <w:t>n=198</w:t>
            </w:r>
          </w:p>
        </w:tc>
        <w:tc>
          <w:tcPr>
            <w:tcW w:w="4559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70"/>
              <w:ind w:left="680"/>
            </w:pPr>
            <w:proofErr w:type="spellStart"/>
            <w:r w:rsidRPr="00025B50">
              <w:rPr>
                <w:rFonts w:ascii="Arial" w:hAnsi="Arial" w:cs="Arial"/>
                <w:b/>
                <w:bCs/>
                <w:sz w:val="36"/>
                <w:szCs w:val="36"/>
              </w:rPr>
              <w:t>Biosimilar</w:t>
            </w:r>
            <w:proofErr w:type="spellEnd"/>
            <w:r w:rsidRPr="00025B50">
              <w:rPr>
                <w:rFonts w:ascii="Arial" w:hAnsi="Arial" w:cs="Arial"/>
                <w:b/>
                <w:bCs/>
                <w:spacing w:val="-9"/>
                <w:sz w:val="36"/>
                <w:szCs w:val="36"/>
              </w:rPr>
              <w:t xml:space="preserve"> </w:t>
            </w:r>
            <w:r w:rsidRPr="00025B50">
              <w:rPr>
                <w:rFonts w:ascii="Arial" w:hAnsi="Arial" w:cs="Arial"/>
                <w:b/>
                <w:bCs/>
                <w:sz w:val="36"/>
                <w:szCs w:val="36"/>
              </w:rPr>
              <w:t>Medicines</w:t>
            </w:r>
          </w:p>
        </w:tc>
        <w:tc>
          <w:tcPr>
            <w:tcW w:w="2169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67"/>
              <w:ind w:left="810"/>
            </w:pPr>
            <w:r w:rsidRPr="00025B50">
              <w:rPr>
                <w:rFonts w:ascii="Arial" w:hAnsi="Arial" w:cs="Arial"/>
                <w:b/>
                <w:bCs/>
                <w:spacing w:val="-1"/>
              </w:rPr>
              <w:t>n=168</w:t>
            </w:r>
          </w:p>
        </w:tc>
      </w:tr>
      <w:tr w:rsidR="00025B50" w:rsidRPr="00025B50" w:rsidTr="00025B50">
        <w:trPr>
          <w:trHeight w:hRule="exact" w:val="806"/>
        </w:trPr>
        <w:tc>
          <w:tcPr>
            <w:tcW w:w="4486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50"/>
              <w:ind w:left="134"/>
            </w:pPr>
            <w:r w:rsidRPr="00025B50">
              <w:rPr>
                <w:rFonts w:ascii="Arial" w:hAnsi="Arial" w:cs="Arial"/>
                <w:sz w:val="32"/>
                <w:szCs w:val="32"/>
              </w:rPr>
              <w:t>GP</w:t>
            </w:r>
          </w:p>
        </w:tc>
        <w:tc>
          <w:tcPr>
            <w:tcW w:w="1746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51"/>
              <w:ind w:left="174"/>
            </w:pPr>
            <w:r w:rsidRPr="00025B50">
              <w:rPr>
                <w:rFonts w:ascii="Arial" w:hAnsi="Arial" w:cs="Arial"/>
                <w:sz w:val="36"/>
                <w:szCs w:val="36"/>
              </w:rPr>
              <w:t>28%</w:t>
            </w:r>
          </w:p>
        </w:tc>
        <w:tc>
          <w:tcPr>
            <w:tcW w:w="4559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50"/>
              <w:ind w:left="392"/>
            </w:pPr>
            <w:r w:rsidRPr="00025B50">
              <w:rPr>
                <w:rFonts w:ascii="Arial" w:hAnsi="Arial" w:cs="Arial"/>
                <w:sz w:val="32"/>
                <w:szCs w:val="32"/>
              </w:rPr>
              <w:t>GP</w:t>
            </w:r>
          </w:p>
        </w:tc>
        <w:tc>
          <w:tcPr>
            <w:tcW w:w="2169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51"/>
              <w:ind w:left="291"/>
            </w:pPr>
            <w:r w:rsidRPr="00025B50">
              <w:rPr>
                <w:rFonts w:ascii="Arial" w:hAnsi="Arial" w:cs="Arial"/>
                <w:sz w:val="36"/>
                <w:szCs w:val="36"/>
              </w:rPr>
              <w:t>24%</w:t>
            </w:r>
          </w:p>
        </w:tc>
      </w:tr>
      <w:tr w:rsidR="00025B50" w:rsidRPr="00025B50" w:rsidTr="00025B50">
        <w:trPr>
          <w:trHeight w:hRule="exact" w:val="806"/>
        </w:trPr>
        <w:tc>
          <w:tcPr>
            <w:tcW w:w="4486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4"/>
              <w:ind w:left="134"/>
            </w:pPr>
            <w:r w:rsidRPr="00025B50">
              <w:rPr>
                <w:rFonts w:ascii="Arial" w:hAnsi="Arial" w:cs="Arial"/>
                <w:spacing w:val="-1"/>
                <w:sz w:val="32"/>
                <w:szCs w:val="32"/>
              </w:rPr>
              <w:t>General</w:t>
            </w:r>
            <w:r w:rsidRPr="00025B50">
              <w:rPr>
                <w:rFonts w:ascii="Arial" w:hAnsi="Arial" w:cs="Arial"/>
                <w:sz w:val="32"/>
                <w:szCs w:val="32"/>
              </w:rPr>
              <w:t xml:space="preserve"> information</w:t>
            </w:r>
            <w:r w:rsidRPr="00025B50">
              <w:rPr>
                <w:rFonts w:ascii="Arial" w:hAnsi="Arial" w:cs="Arial"/>
                <w:spacing w:val="-14"/>
                <w:sz w:val="32"/>
                <w:szCs w:val="32"/>
              </w:rPr>
              <w:t xml:space="preserve"> </w:t>
            </w:r>
            <w:r w:rsidRPr="00025B50">
              <w:rPr>
                <w:rFonts w:ascii="Arial" w:hAnsi="Arial" w:cs="Arial"/>
                <w:sz w:val="32"/>
                <w:szCs w:val="32"/>
              </w:rPr>
              <w:t>on</w:t>
            </w:r>
            <w:r w:rsidRPr="00025B50">
              <w:rPr>
                <w:rFonts w:ascii="Arial" w:hAnsi="Arial" w:cs="Arial"/>
                <w:spacing w:val="-2"/>
                <w:sz w:val="32"/>
                <w:szCs w:val="32"/>
              </w:rPr>
              <w:t xml:space="preserve"> </w:t>
            </w:r>
            <w:r w:rsidRPr="00025B50">
              <w:rPr>
                <w:rFonts w:ascii="Arial" w:hAnsi="Arial" w:cs="Arial"/>
                <w:sz w:val="32"/>
                <w:szCs w:val="32"/>
              </w:rPr>
              <w:t>line</w:t>
            </w:r>
          </w:p>
        </w:tc>
        <w:tc>
          <w:tcPr>
            <w:tcW w:w="1746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4"/>
              <w:ind w:left="174"/>
            </w:pPr>
            <w:r w:rsidRPr="00025B50">
              <w:rPr>
                <w:rFonts w:ascii="Arial" w:hAnsi="Arial" w:cs="Arial"/>
                <w:sz w:val="36"/>
                <w:szCs w:val="36"/>
              </w:rPr>
              <w:t>23%</w:t>
            </w:r>
          </w:p>
        </w:tc>
        <w:tc>
          <w:tcPr>
            <w:tcW w:w="4559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4"/>
              <w:ind w:left="392"/>
            </w:pPr>
            <w:r w:rsidRPr="00025B50">
              <w:rPr>
                <w:rFonts w:ascii="Arial" w:hAnsi="Arial" w:cs="Arial"/>
                <w:sz w:val="32"/>
                <w:szCs w:val="32"/>
              </w:rPr>
              <w:t>Pharmacist</w:t>
            </w:r>
          </w:p>
        </w:tc>
        <w:tc>
          <w:tcPr>
            <w:tcW w:w="2169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4"/>
              <w:ind w:left="291"/>
            </w:pPr>
            <w:r w:rsidRPr="00025B50">
              <w:rPr>
                <w:rFonts w:ascii="Arial" w:hAnsi="Arial" w:cs="Arial"/>
                <w:sz w:val="36"/>
                <w:szCs w:val="36"/>
              </w:rPr>
              <w:t>17%</w:t>
            </w:r>
          </w:p>
        </w:tc>
      </w:tr>
      <w:tr w:rsidR="00025B50" w:rsidRPr="00025B50" w:rsidTr="00025B50">
        <w:trPr>
          <w:trHeight w:hRule="exact" w:val="806"/>
        </w:trPr>
        <w:tc>
          <w:tcPr>
            <w:tcW w:w="4486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4"/>
              <w:ind w:left="134"/>
            </w:pPr>
            <w:r w:rsidRPr="00025B50">
              <w:rPr>
                <w:rFonts w:ascii="Arial" w:hAnsi="Arial" w:cs="Arial"/>
                <w:sz w:val="32"/>
                <w:szCs w:val="32"/>
              </w:rPr>
              <w:t>Pharmacist</w:t>
            </w:r>
          </w:p>
        </w:tc>
        <w:tc>
          <w:tcPr>
            <w:tcW w:w="1746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4"/>
              <w:ind w:left="174"/>
            </w:pPr>
            <w:r w:rsidRPr="00025B50">
              <w:rPr>
                <w:rFonts w:ascii="Arial" w:hAnsi="Arial" w:cs="Arial"/>
                <w:sz w:val="36"/>
                <w:szCs w:val="36"/>
              </w:rPr>
              <w:t>18%</w:t>
            </w:r>
          </w:p>
        </w:tc>
        <w:tc>
          <w:tcPr>
            <w:tcW w:w="4559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4"/>
              <w:ind w:left="392"/>
            </w:pPr>
            <w:r w:rsidRPr="00025B50">
              <w:rPr>
                <w:rFonts w:ascii="Arial" w:hAnsi="Arial" w:cs="Arial"/>
                <w:spacing w:val="1"/>
                <w:sz w:val="32"/>
                <w:szCs w:val="32"/>
              </w:rPr>
              <w:t>Word</w:t>
            </w:r>
            <w:r w:rsidRPr="00025B50">
              <w:rPr>
                <w:rFonts w:ascii="Arial" w:hAnsi="Arial" w:cs="Arial"/>
                <w:spacing w:val="-14"/>
                <w:sz w:val="32"/>
                <w:szCs w:val="32"/>
              </w:rPr>
              <w:t xml:space="preserve"> </w:t>
            </w:r>
            <w:r w:rsidRPr="00025B50">
              <w:rPr>
                <w:rFonts w:ascii="Arial" w:hAnsi="Arial" w:cs="Arial"/>
                <w:sz w:val="32"/>
                <w:szCs w:val="32"/>
              </w:rPr>
              <w:t>of</w:t>
            </w:r>
            <w:r w:rsidRPr="00025B50">
              <w:rPr>
                <w:rFonts w:ascii="Arial" w:hAnsi="Arial" w:cs="Arial"/>
                <w:spacing w:val="-2"/>
                <w:sz w:val="32"/>
                <w:szCs w:val="32"/>
              </w:rPr>
              <w:t xml:space="preserve"> </w:t>
            </w:r>
            <w:r w:rsidRPr="00025B50">
              <w:rPr>
                <w:rFonts w:ascii="Arial" w:hAnsi="Arial" w:cs="Arial"/>
                <w:sz w:val="32"/>
                <w:szCs w:val="32"/>
              </w:rPr>
              <w:t>mouth</w:t>
            </w:r>
          </w:p>
        </w:tc>
        <w:tc>
          <w:tcPr>
            <w:tcW w:w="2169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4"/>
              <w:ind w:left="291"/>
            </w:pPr>
            <w:r w:rsidRPr="00025B50">
              <w:rPr>
                <w:rFonts w:ascii="Arial" w:hAnsi="Arial" w:cs="Arial"/>
                <w:sz w:val="36"/>
                <w:szCs w:val="36"/>
              </w:rPr>
              <w:t>17%</w:t>
            </w:r>
          </w:p>
        </w:tc>
      </w:tr>
      <w:tr w:rsidR="00025B50" w:rsidRPr="00025B50" w:rsidTr="00025B50">
        <w:trPr>
          <w:trHeight w:hRule="exact" w:val="499"/>
        </w:trPr>
        <w:tc>
          <w:tcPr>
            <w:tcW w:w="4486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3"/>
              <w:ind w:left="134"/>
            </w:pPr>
            <w:r w:rsidRPr="00025B50">
              <w:rPr>
                <w:rFonts w:ascii="Arial" w:hAnsi="Arial" w:cs="Arial"/>
                <w:spacing w:val="1"/>
                <w:sz w:val="32"/>
                <w:szCs w:val="32"/>
              </w:rPr>
              <w:t>Word</w:t>
            </w:r>
            <w:r w:rsidRPr="00025B50">
              <w:rPr>
                <w:rFonts w:ascii="Arial" w:hAnsi="Arial" w:cs="Arial"/>
                <w:spacing w:val="-14"/>
                <w:sz w:val="32"/>
                <w:szCs w:val="32"/>
              </w:rPr>
              <w:t xml:space="preserve"> </w:t>
            </w:r>
            <w:r w:rsidRPr="00025B50">
              <w:rPr>
                <w:rFonts w:ascii="Arial" w:hAnsi="Arial" w:cs="Arial"/>
                <w:sz w:val="32"/>
                <w:szCs w:val="32"/>
              </w:rPr>
              <w:t>of</w:t>
            </w:r>
            <w:r w:rsidRPr="00025B50">
              <w:rPr>
                <w:rFonts w:ascii="Arial" w:hAnsi="Arial" w:cs="Arial"/>
                <w:spacing w:val="-2"/>
                <w:sz w:val="32"/>
                <w:szCs w:val="32"/>
              </w:rPr>
              <w:t xml:space="preserve"> </w:t>
            </w:r>
            <w:r w:rsidRPr="00025B50">
              <w:rPr>
                <w:rFonts w:ascii="Arial" w:hAnsi="Arial" w:cs="Arial"/>
                <w:sz w:val="32"/>
                <w:szCs w:val="32"/>
              </w:rPr>
              <w:t>mouth</w:t>
            </w:r>
          </w:p>
        </w:tc>
        <w:tc>
          <w:tcPr>
            <w:tcW w:w="1746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4"/>
              <w:ind w:left="174"/>
            </w:pPr>
            <w:r w:rsidRPr="00025B50">
              <w:rPr>
                <w:rFonts w:ascii="Arial" w:hAnsi="Arial" w:cs="Arial"/>
                <w:sz w:val="36"/>
                <w:szCs w:val="36"/>
              </w:rPr>
              <w:t>18%</w:t>
            </w:r>
          </w:p>
        </w:tc>
        <w:tc>
          <w:tcPr>
            <w:tcW w:w="4559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3"/>
              <w:ind w:left="392"/>
            </w:pPr>
            <w:r w:rsidRPr="00025B50">
              <w:rPr>
                <w:rFonts w:ascii="Arial" w:hAnsi="Arial" w:cs="Arial"/>
                <w:sz w:val="32"/>
                <w:szCs w:val="32"/>
              </w:rPr>
              <w:t>Online</w:t>
            </w:r>
            <w:r w:rsidRPr="00025B50">
              <w:rPr>
                <w:rFonts w:ascii="Arial" w:hAnsi="Arial" w:cs="Arial"/>
                <w:spacing w:val="-6"/>
                <w:sz w:val="32"/>
                <w:szCs w:val="32"/>
              </w:rPr>
              <w:t xml:space="preserve"> </w:t>
            </w:r>
            <w:r w:rsidRPr="00025B50">
              <w:rPr>
                <w:rFonts w:ascii="Arial" w:hAnsi="Arial" w:cs="Arial"/>
                <w:sz w:val="32"/>
                <w:szCs w:val="32"/>
              </w:rPr>
              <w:t>information</w:t>
            </w:r>
            <w:r w:rsidRPr="00025B50">
              <w:rPr>
                <w:rFonts w:ascii="Arial" w:hAnsi="Arial" w:cs="Arial"/>
                <w:spacing w:val="-14"/>
                <w:sz w:val="32"/>
                <w:szCs w:val="32"/>
              </w:rPr>
              <w:t xml:space="preserve"> </w:t>
            </w:r>
            <w:r w:rsidRPr="00025B50">
              <w:rPr>
                <w:rFonts w:ascii="Arial" w:hAnsi="Arial" w:cs="Arial"/>
                <w:sz w:val="32"/>
                <w:szCs w:val="32"/>
              </w:rPr>
              <w:t>from</w:t>
            </w:r>
          </w:p>
        </w:tc>
        <w:tc>
          <w:tcPr>
            <w:tcW w:w="2169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4"/>
              <w:ind w:left="291"/>
            </w:pPr>
            <w:r w:rsidRPr="00025B50">
              <w:rPr>
                <w:rFonts w:ascii="Arial" w:hAnsi="Arial" w:cs="Arial"/>
                <w:sz w:val="36"/>
                <w:szCs w:val="36"/>
              </w:rPr>
              <w:t>16%</w:t>
            </w:r>
          </w:p>
        </w:tc>
      </w:tr>
      <w:tr w:rsidR="00025B50" w:rsidRPr="00025B50" w:rsidTr="00025B50">
        <w:trPr>
          <w:trHeight w:hRule="exact" w:val="763"/>
        </w:trPr>
        <w:tc>
          <w:tcPr>
            <w:tcW w:w="4486" w:type="dxa"/>
          </w:tcPr>
          <w:p w:rsidR="00732A75" w:rsidRPr="00025B50" w:rsidRDefault="00732A75"/>
        </w:tc>
        <w:tc>
          <w:tcPr>
            <w:tcW w:w="1746" w:type="dxa"/>
          </w:tcPr>
          <w:p w:rsidR="00732A75" w:rsidRPr="00025B50" w:rsidRDefault="00732A75"/>
        </w:tc>
        <w:tc>
          <w:tcPr>
            <w:tcW w:w="4559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line="337" w:lineRule="exact"/>
              <w:ind w:left="392"/>
            </w:pPr>
            <w:r w:rsidRPr="00025B50">
              <w:rPr>
                <w:rFonts w:ascii="Arial" w:hAnsi="Arial" w:cs="Arial"/>
                <w:spacing w:val="-1"/>
                <w:sz w:val="32"/>
                <w:szCs w:val="32"/>
              </w:rPr>
              <w:t>Department</w:t>
            </w:r>
            <w:r w:rsidRPr="00025B50">
              <w:rPr>
                <w:rFonts w:ascii="Arial" w:hAnsi="Arial" w:cs="Arial"/>
                <w:spacing w:val="-6"/>
                <w:sz w:val="32"/>
                <w:szCs w:val="32"/>
              </w:rPr>
              <w:t xml:space="preserve"> </w:t>
            </w:r>
            <w:r w:rsidRPr="00025B50">
              <w:rPr>
                <w:rFonts w:ascii="Arial" w:hAnsi="Arial" w:cs="Arial"/>
                <w:sz w:val="32"/>
                <w:szCs w:val="32"/>
              </w:rPr>
              <w:t>of Health</w:t>
            </w:r>
          </w:p>
        </w:tc>
        <w:tc>
          <w:tcPr>
            <w:tcW w:w="2169" w:type="dxa"/>
          </w:tcPr>
          <w:p w:rsidR="00732A75" w:rsidRPr="00025B50" w:rsidRDefault="00732A75"/>
        </w:tc>
      </w:tr>
      <w:tr w:rsidR="00025B50" w:rsidRPr="00025B50" w:rsidTr="00025B50">
        <w:trPr>
          <w:trHeight w:hRule="exact" w:val="806"/>
        </w:trPr>
        <w:tc>
          <w:tcPr>
            <w:tcW w:w="4486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79"/>
              <w:ind w:left="134"/>
            </w:pPr>
            <w:r w:rsidRPr="00025B50">
              <w:rPr>
                <w:rFonts w:ascii="Arial" w:hAnsi="Arial" w:cs="Arial"/>
                <w:sz w:val="32"/>
                <w:szCs w:val="32"/>
              </w:rPr>
              <w:t>Specialist</w:t>
            </w:r>
          </w:p>
        </w:tc>
        <w:tc>
          <w:tcPr>
            <w:tcW w:w="1746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0"/>
              <w:ind w:left="174"/>
            </w:pPr>
            <w:r w:rsidRPr="00025B50">
              <w:rPr>
                <w:rFonts w:ascii="Arial" w:hAnsi="Arial" w:cs="Arial"/>
                <w:sz w:val="36"/>
                <w:szCs w:val="36"/>
              </w:rPr>
              <w:t>17%</w:t>
            </w:r>
          </w:p>
        </w:tc>
        <w:tc>
          <w:tcPr>
            <w:tcW w:w="4559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79"/>
              <w:ind w:left="392"/>
            </w:pPr>
            <w:r w:rsidRPr="00025B50">
              <w:rPr>
                <w:rFonts w:ascii="Arial" w:hAnsi="Arial" w:cs="Arial"/>
                <w:spacing w:val="-1"/>
                <w:sz w:val="32"/>
                <w:szCs w:val="32"/>
              </w:rPr>
              <w:t>General</w:t>
            </w:r>
            <w:r w:rsidRPr="00025B50">
              <w:rPr>
                <w:rFonts w:ascii="Arial" w:hAnsi="Arial" w:cs="Arial"/>
                <w:sz w:val="32"/>
                <w:szCs w:val="32"/>
              </w:rPr>
              <w:t xml:space="preserve"> information</w:t>
            </w:r>
            <w:r w:rsidRPr="00025B50">
              <w:rPr>
                <w:rFonts w:ascii="Arial" w:hAnsi="Arial" w:cs="Arial"/>
                <w:spacing w:val="-14"/>
                <w:sz w:val="32"/>
                <w:szCs w:val="32"/>
              </w:rPr>
              <w:t xml:space="preserve"> </w:t>
            </w:r>
            <w:r w:rsidRPr="00025B50">
              <w:rPr>
                <w:rFonts w:ascii="Arial" w:hAnsi="Arial" w:cs="Arial"/>
                <w:spacing w:val="-1"/>
                <w:sz w:val="32"/>
                <w:szCs w:val="32"/>
              </w:rPr>
              <w:t>online</w:t>
            </w:r>
          </w:p>
        </w:tc>
        <w:tc>
          <w:tcPr>
            <w:tcW w:w="2169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0"/>
              <w:ind w:left="291"/>
            </w:pPr>
            <w:r w:rsidRPr="00025B50">
              <w:rPr>
                <w:rFonts w:ascii="Arial" w:hAnsi="Arial" w:cs="Arial"/>
                <w:sz w:val="36"/>
                <w:szCs w:val="36"/>
              </w:rPr>
              <w:t>15%</w:t>
            </w:r>
          </w:p>
        </w:tc>
      </w:tr>
      <w:tr w:rsidR="00025B50" w:rsidRPr="00025B50" w:rsidTr="00025B50">
        <w:trPr>
          <w:trHeight w:hRule="exact" w:val="1027"/>
        </w:trPr>
        <w:tc>
          <w:tcPr>
            <w:tcW w:w="4486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79"/>
              <w:ind w:left="134"/>
            </w:pPr>
            <w:r w:rsidRPr="00025B50">
              <w:rPr>
                <w:rFonts w:ascii="Arial" w:hAnsi="Arial" w:cs="Arial"/>
                <w:sz w:val="32"/>
                <w:szCs w:val="32"/>
              </w:rPr>
              <w:t>Communication</w:t>
            </w:r>
            <w:r w:rsidRPr="00025B50">
              <w:rPr>
                <w:rFonts w:ascii="Arial" w:hAnsi="Arial" w:cs="Arial"/>
                <w:spacing w:val="-17"/>
                <w:sz w:val="32"/>
                <w:szCs w:val="32"/>
              </w:rPr>
              <w:t xml:space="preserve"> </w:t>
            </w:r>
            <w:r w:rsidRPr="00025B50">
              <w:rPr>
                <w:rFonts w:ascii="Arial" w:hAnsi="Arial" w:cs="Arial"/>
                <w:sz w:val="32"/>
                <w:szCs w:val="32"/>
              </w:rPr>
              <w:t>from</w:t>
            </w:r>
            <w:r w:rsidRPr="00025B50">
              <w:rPr>
                <w:rFonts w:ascii="Arial" w:hAnsi="Arial" w:cs="Arial"/>
                <w:spacing w:val="2"/>
                <w:sz w:val="32"/>
                <w:szCs w:val="32"/>
              </w:rPr>
              <w:t xml:space="preserve"> </w:t>
            </w:r>
            <w:r w:rsidR="00025B50" w:rsidRPr="00025B50">
              <w:rPr>
                <w:rFonts w:ascii="Arial" w:hAnsi="Arial" w:cs="Arial"/>
                <w:spacing w:val="-1"/>
                <w:sz w:val="32"/>
                <w:szCs w:val="32"/>
              </w:rPr>
              <w:t>peak</w:t>
            </w:r>
            <w:r w:rsidR="00025B50" w:rsidRPr="00025B50">
              <w:rPr>
                <w:rFonts w:ascii="Arial" w:hAnsi="Arial" w:cs="Arial"/>
                <w:spacing w:val="-2"/>
                <w:sz w:val="32"/>
                <w:szCs w:val="32"/>
              </w:rPr>
              <w:t xml:space="preserve"> </w:t>
            </w:r>
            <w:r w:rsidR="00025B50" w:rsidRPr="00025B50">
              <w:rPr>
                <w:rFonts w:ascii="Arial" w:hAnsi="Arial" w:cs="Arial"/>
                <w:spacing w:val="-1"/>
                <w:sz w:val="32"/>
                <w:szCs w:val="32"/>
              </w:rPr>
              <w:t xml:space="preserve">bodies </w:t>
            </w:r>
            <w:r w:rsidRPr="00025B50">
              <w:rPr>
                <w:rFonts w:ascii="Arial" w:hAnsi="Arial" w:cs="Arial"/>
                <w:spacing w:val="-1"/>
                <w:sz w:val="32"/>
                <w:szCs w:val="32"/>
              </w:rPr>
              <w:t>national</w:t>
            </w:r>
          </w:p>
        </w:tc>
        <w:tc>
          <w:tcPr>
            <w:tcW w:w="1746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0"/>
              <w:ind w:left="174"/>
            </w:pPr>
            <w:r w:rsidRPr="00025B50">
              <w:rPr>
                <w:rFonts w:ascii="Arial" w:hAnsi="Arial" w:cs="Arial"/>
                <w:sz w:val="36"/>
                <w:szCs w:val="36"/>
              </w:rPr>
              <w:t>17%</w:t>
            </w:r>
          </w:p>
        </w:tc>
        <w:tc>
          <w:tcPr>
            <w:tcW w:w="4559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79"/>
              <w:ind w:left="392"/>
            </w:pPr>
            <w:r w:rsidRPr="00025B50">
              <w:rPr>
                <w:rFonts w:ascii="Arial" w:hAnsi="Arial" w:cs="Arial"/>
                <w:sz w:val="32"/>
                <w:szCs w:val="32"/>
              </w:rPr>
              <w:t>Specialist</w:t>
            </w:r>
          </w:p>
        </w:tc>
        <w:tc>
          <w:tcPr>
            <w:tcW w:w="2169" w:type="dxa"/>
          </w:tcPr>
          <w:p w:rsidR="00732A75" w:rsidRPr="00025B50" w:rsidRDefault="00732A75">
            <w:pPr>
              <w:pStyle w:val="TableParagraph"/>
              <w:kinsoku w:val="0"/>
              <w:overflowPunct w:val="0"/>
              <w:spacing w:before="80"/>
              <w:ind w:left="291"/>
            </w:pPr>
            <w:r w:rsidRPr="00025B50">
              <w:rPr>
                <w:rFonts w:ascii="Arial" w:hAnsi="Arial" w:cs="Arial"/>
                <w:sz w:val="36"/>
                <w:szCs w:val="36"/>
              </w:rPr>
              <w:t>15%</w:t>
            </w:r>
          </w:p>
        </w:tc>
      </w:tr>
    </w:tbl>
    <w:p w:rsidR="00732A75" w:rsidRDefault="00732A75">
      <w:pPr>
        <w:sectPr w:rsidR="00732A75" w:rsidSect="003672F7">
          <w:headerReference w:type="default" r:id="rId40"/>
          <w:footerReference w:type="default" r:id="rId41"/>
          <w:pgSz w:w="16840" w:h="11910" w:orient="landscape"/>
          <w:pgMar w:top="3119" w:right="1100" w:bottom="940" w:left="1100" w:header="552" w:footer="750" w:gutter="0"/>
          <w:pgNumType w:start="12"/>
          <w:cols w:space="720"/>
          <w:noEndnote/>
        </w:sectPr>
      </w:pPr>
    </w:p>
    <w:p w:rsidR="00732A75" w:rsidRDefault="00732A75">
      <w:pPr>
        <w:pStyle w:val="BodyText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7"/>
          <w:szCs w:val="7"/>
        </w:rPr>
      </w:pPr>
    </w:p>
    <w:p w:rsidR="00732A75" w:rsidRDefault="00732A75">
      <w:pPr>
        <w:pStyle w:val="BodyText"/>
        <w:kinsoku w:val="0"/>
        <w:overflowPunct w:val="0"/>
        <w:spacing w:before="0" w:line="200" w:lineRule="atLeast"/>
        <w:ind w:left="114" w:firstLine="0"/>
        <w:rPr>
          <w:rFonts w:ascii="Times New Roman" w:hAnsi="Times New Roman" w:cs="Times New Roman"/>
          <w:sz w:val="20"/>
          <w:szCs w:val="20"/>
        </w:rPr>
      </w:pPr>
    </w:p>
    <w:p w:rsidR="00732A75" w:rsidRPr="005B2CED" w:rsidRDefault="00732A75" w:rsidP="005E1EF0">
      <w:pPr>
        <w:pStyle w:val="Heading2"/>
        <w:ind w:left="0"/>
      </w:pPr>
      <w:r w:rsidRPr="005B2CED">
        <w:rPr>
          <w:spacing w:val="-18"/>
        </w:rPr>
        <w:t>Perceived</w:t>
      </w:r>
      <w:r w:rsidRPr="005B2CED">
        <w:rPr>
          <w:spacing w:val="-46"/>
        </w:rPr>
        <w:t xml:space="preserve"> </w:t>
      </w:r>
      <w:r w:rsidRPr="005B2CED">
        <w:rPr>
          <w:spacing w:val="-12"/>
        </w:rPr>
        <w:t>Ba</w:t>
      </w:r>
      <w:r w:rsidR="00B53ED1" w:rsidRPr="005B2CED">
        <w:rPr>
          <w:spacing w:val="-12"/>
        </w:rPr>
        <w:t>rr</w:t>
      </w:r>
      <w:r w:rsidRPr="005B2CED">
        <w:rPr>
          <w:spacing w:val="-15"/>
        </w:rPr>
        <w:t>iers</w:t>
      </w:r>
      <w:r w:rsidRPr="005B2CED">
        <w:rPr>
          <w:spacing w:val="-43"/>
        </w:rPr>
        <w:t xml:space="preserve"> </w:t>
      </w:r>
      <w:r w:rsidRPr="005B2CED">
        <w:rPr>
          <w:spacing w:val="-12"/>
        </w:rPr>
        <w:t>and</w:t>
      </w:r>
      <w:r w:rsidRPr="005B2CED">
        <w:rPr>
          <w:spacing w:val="-46"/>
        </w:rPr>
        <w:t xml:space="preserve"> </w:t>
      </w:r>
      <w:r w:rsidRPr="005B2CED">
        <w:t>Benefits</w:t>
      </w:r>
      <w:r w:rsidRPr="005B2CED">
        <w:rPr>
          <w:spacing w:val="-52"/>
        </w:rPr>
        <w:t xml:space="preserve"> </w:t>
      </w:r>
      <w:r w:rsidRPr="005B2CED">
        <w:rPr>
          <w:spacing w:val="-11"/>
        </w:rPr>
        <w:t>for</w:t>
      </w:r>
      <w:r w:rsidRPr="005B2CED">
        <w:rPr>
          <w:spacing w:val="-54"/>
        </w:rPr>
        <w:t xml:space="preserve"> </w:t>
      </w:r>
      <w:r w:rsidRPr="005B2CED">
        <w:t>Patients</w:t>
      </w:r>
      <w:r w:rsidRPr="005B2CED">
        <w:rPr>
          <w:spacing w:val="-52"/>
        </w:rPr>
        <w:t xml:space="preserve"> </w:t>
      </w:r>
      <w:r w:rsidRPr="005B2CED">
        <w:rPr>
          <w:spacing w:val="-12"/>
        </w:rPr>
        <w:t>and</w:t>
      </w:r>
      <w:r w:rsidRPr="005B2CED">
        <w:rPr>
          <w:spacing w:val="-46"/>
        </w:rPr>
        <w:t xml:space="preserve"> </w:t>
      </w:r>
      <w:r w:rsidRPr="005B2CED">
        <w:t>Carers</w:t>
      </w:r>
      <w:r w:rsidRPr="005B2CED">
        <w:rPr>
          <w:spacing w:val="-43"/>
        </w:rPr>
        <w:t xml:space="preserve"> </w:t>
      </w:r>
      <w:r w:rsidRPr="005B2CED">
        <w:t>(n=200)</w:t>
      </w:r>
    </w:p>
    <w:p w:rsidR="00732A75" w:rsidRDefault="00AD0F03">
      <w:pPr>
        <w:pStyle w:val="BodyText"/>
        <w:kinsoku w:val="0"/>
        <w:overflowPunct w:val="0"/>
        <w:spacing w:before="0" w:line="200" w:lineRule="atLeast"/>
        <w:ind w:left="834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8229600" cy="4259580"/>
            <wp:effectExtent l="0" t="0" r="0" b="7620"/>
            <wp:docPr id="443" name="Picture 443" descr="Two bar charts show data regarding the perceived barriers and benefits for Patients and Carers. The left chart is Barriers (n=35 of 200 surveyed): Insufficient information for patients 29%; Concerned about adverse outcomes 26%; Concern about fail and counting against for future access to PBS subsidised biologic medicines 23%; Strength of pharmacoviligance activities 20%; Immunogenicity concerns 20%; Insufficient information for prescribers 17%. The right chart is Benefits (n=77 of 200 surveyed): More affordable for patients 44%; Lower prices through competition 35%; Positive patient outcomes 35%; Treatment choice 35%; Enables more medicines to be listed in the PBS 31%; Advances in medicine technology 30%; Save taxpayers money 29%. " title="Perceived Barriers and Benefits for Patients and Carers (n=2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A75" w:rsidRDefault="00732A75">
      <w:pPr>
        <w:pStyle w:val="BodyText"/>
        <w:kinsoku w:val="0"/>
        <w:overflowPunct w:val="0"/>
        <w:spacing w:before="0" w:line="200" w:lineRule="atLeast"/>
        <w:ind w:left="834" w:firstLine="0"/>
        <w:rPr>
          <w:sz w:val="20"/>
          <w:szCs w:val="20"/>
        </w:rPr>
        <w:sectPr w:rsidR="00732A75" w:rsidSect="005E1EF0">
          <w:headerReference w:type="default" r:id="rId43"/>
          <w:pgSz w:w="16840" w:h="11910" w:orient="landscape"/>
          <w:pgMar w:top="2268" w:right="1100" w:bottom="940" w:left="1100" w:header="0" w:footer="750" w:gutter="0"/>
          <w:cols w:space="720"/>
          <w:noEndnote/>
        </w:sectPr>
      </w:pPr>
    </w:p>
    <w:p w:rsidR="00732A75" w:rsidRDefault="00732A75">
      <w:pPr>
        <w:pStyle w:val="BodyText"/>
        <w:kinsoku w:val="0"/>
        <w:overflowPunct w:val="0"/>
        <w:spacing w:before="3"/>
        <w:ind w:left="0" w:firstLine="0"/>
        <w:rPr>
          <w:rFonts w:ascii="Times New Roman" w:hAnsi="Times New Roman" w:cs="Times New Roman"/>
          <w:sz w:val="3"/>
          <w:szCs w:val="3"/>
        </w:rPr>
      </w:pPr>
    </w:p>
    <w:p w:rsidR="005E1EF0" w:rsidRPr="005E1EF0" w:rsidRDefault="005E1EF0" w:rsidP="005E1EF0">
      <w:pPr>
        <w:pStyle w:val="Heading2"/>
        <w:ind w:left="0"/>
        <w:rPr>
          <w:sz w:val="48"/>
          <w:szCs w:val="48"/>
        </w:rPr>
      </w:pPr>
      <w:r w:rsidRPr="005E1EF0">
        <w:rPr>
          <w:sz w:val="48"/>
          <w:szCs w:val="48"/>
        </w:rPr>
        <w:t>Consumer</w:t>
      </w:r>
      <w:r w:rsidRPr="005E1EF0">
        <w:rPr>
          <w:spacing w:val="-54"/>
          <w:sz w:val="48"/>
          <w:szCs w:val="48"/>
        </w:rPr>
        <w:t xml:space="preserve"> </w:t>
      </w:r>
      <w:r w:rsidRPr="005E1EF0">
        <w:rPr>
          <w:sz w:val="48"/>
          <w:szCs w:val="48"/>
        </w:rPr>
        <w:t>confidence</w:t>
      </w:r>
      <w:r w:rsidRPr="005E1EF0">
        <w:rPr>
          <w:spacing w:val="-55"/>
          <w:sz w:val="48"/>
          <w:szCs w:val="48"/>
        </w:rPr>
        <w:t xml:space="preserve"> </w:t>
      </w:r>
      <w:r w:rsidRPr="005E1EF0">
        <w:rPr>
          <w:sz w:val="48"/>
          <w:szCs w:val="48"/>
        </w:rPr>
        <w:t>with</w:t>
      </w:r>
      <w:r w:rsidRPr="005E1EF0">
        <w:rPr>
          <w:spacing w:val="-36"/>
          <w:sz w:val="48"/>
          <w:szCs w:val="48"/>
        </w:rPr>
        <w:t xml:space="preserve"> </w:t>
      </w:r>
      <w:r w:rsidRPr="005E1EF0">
        <w:rPr>
          <w:sz w:val="48"/>
          <w:szCs w:val="48"/>
        </w:rPr>
        <w:t>pharmacist</w:t>
      </w:r>
      <w:r w:rsidRPr="005E1EF0">
        <w:rPr>
          <w:spacing w:val="-56"/>
          <w:sz w:val="48"/>
          <w:szCs w:val="48"/>
        </w:rPr>
        <w:t xml:space="preserve"> </w:t>
      </w:r>
      <w:r w:rsidRPr="005E1EF0">
        <w:rPr>
          <w:sz w:val="48"/>
          <w:szCs w:val="48"/>
        </w:rPr>
        <w:t>of</w:t>
      </w:r>
      <w:r w:rsidRPr="005E1EF0">
        <w:rPr>
          <w:spacing w:val="-16"/>
          <w:sz w:val="48"/>
          <w:szCs w:val="48"/>
        </w:rPr>
        <w:t>fering</w:t>
      </w:r>
      <w:r w:rsidRPr="005E1EF0">
        <w:rPr>
          <w:spacing w:val="-55"/>
          <w:sz w:val="48"/>
          <w:szCs w:val="48"/>
        </w:rPr>
        <w:t xml:space="preserve"> </w:t>
      </w:r>
      <w:r w:rsidRPr="005E1EF0">
        <w:rPr>
          <w:spacing w:val="-18"/>
          <w:sz w:val="48"/>
          <w:szCs w:val="48"/>
        </w:rPr>
        <w:t>substitution</w:t>
      </w:r>
      <w:r w:rsidRPr="005E1EF0">
        <w:rPr>
          <w:spacing w:val="-55"/>
          <w:sz w:val="48"/>
          <w:szCs w:val="48"/>
        </w:rPr>
        <w:t xml:space="preserve"> </w:t>
      </w:r>
      <w:r w:rsidRPr="005E1EF0">
        <w:rPr>
          <w:spacing w:val="-9"/>
          <w:sz w:val="48"/>
          <w:szCs w:val="48"/>
        </w:rPr>
        <w:t>of</w:t>
      </w:r>
      <w:r w:rsidRPr="005E1EF0">
        <w:rPr>
          <w:spacing w:val="-42"/>
          <w:sz w:val="48"/>
          <w:szCs w:val="48"/>
        </w:rPr>
        <w:t xml:space="preserve"> </w:t>
      </w:r>
      <w:r w:rsidRPr="005E1EF0">
        <w:rPr>
          <w:sz w:val="48"/>
          <w:szCs w:val="48"/>
        </w:rPr>
        <w:t xml:space="preserve">a </w:t>
      </w:r>
      <w:r w:rsidRPr="005E1EF0">
        <w:rPr>
          <w:spacing w:val="-18"/>
          <w:sz w:val="48"/>
          <w:szCs w:val="48"/>
        </w:rPr>
        <w:t>biological</w:t>
      </w:r>
      <w:r w:rsidRPr="005E1EF0">
        <w:rPr>
          <w:spacing w:val="-44"/>
          <w:sz w:val="48"/>
          <w:szCs w:val="48"/>
        </w:rPr>
        <w:t xml:space="preserve"> </w:t>
      </w:r>
      <w:r w:rsidRPr="005E1EF0">
        <w:rPr>
          <w:sz w:val="48"/>
          <w:szCs w:val="48"/>
        </w:rPr>
        <w:t>with</w:t>
      </w:r>
      <w:r w:rsidRPr="005E1EF0">
        <w:rPr>
          <w:spacing w:val="-36"/>
          <w:sz w:val="48"/>
          <w:szCs w:val="48"/>
        </w:rPr>
        <w:t xml:space="preserve"> </w:t>
      </w:r>
      <w:r w:rsidRPr="005E1EF0">
        <w:rPr>
          <w:sz w:val="48"/>
          <w:szCs w:val="48"/>
        </w:rPr>
        <w:t>a</w:t>
      </w:r>
      <w:r w:rsidRPr="005E1EF0">
        <w:rPr>
          <w:spacing w:val="-41"/>
          <w:sz w:val="48"/>
          <w:szCs w:val="48"/>
        </w:rPr>
        <w:t xml:space="preserve"> </w:t>
      </w:r>
      <w:proofErr w:type="spellStart"/>
      <w:r w:rsidRPr="005E1EF0">
        <w:rPr>
          <w:spacing w:val="-18"/>
          <w:sz w:val="48"/>
          <w:szCs w:val="48"/>
        </w:rPr>
        <w:t>biosimilar</w:t>
      </w:r>
      <w:proofErr w:type="spellEnd"/>
      <w:r w:rsidRPr="005E1EF0">
        <w:rPr>
          <w:spacing w:val="-49"/>
          <w:sz w:val="48"/>
          <w:szCs w:val="48"/>
        </w:rPr>
        <w:t xml:space="preserve"> </w:t>
      </w:r>
      <w:r w:rsidRPr="005E1EF0">
        <w:rPr>
          <w:sz w:val="48"/>
          <w:szCs w:val="48"/>
        </w:rPr>
        <w:t>medicine</w:t>
      </w:r>
    </w:p>
    <w:p w:rsidR="00732A75" w:rsidRDefault="00AD0F03">
      <w:pPr>
        <w:pStyle w:val="BodyText"/>
        <w:kinsoku w:val="0"/>
        <w:overflowPunct w:val="0"/>
        <w:spacing w:before="0" w:line="200" w:lineRule="atLeast"/>
        <w:ind w:left="743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93DB526" wp14:editId="1F5B2B9A">
            <wp:extent cx="8185150" cy="4560570"/>
            <wp:effectExtent l="0" t="0" r="6350" b="0"/>
            <wp:docPr id="465" name="Picture 465" descr="A column chart shows data regarding consumer confidence with pharmacists offering substitution of a biological with a biosimilar medicine. Percentage of patients who are very concerned/mildly concerned: total consumers (n=200) 57%; Patients (n=165) 55%; Carers (n=35) 63%. Percentage of patients who are neutral/not concerned: total consumers (n=200) 44%; Patients (n=165) 45%; Carers (n=35) 37%. " title="Consumer confidence with pharmacist offering substitution of a biological with a biosimilar medic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0" cy="456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A75" w:rsidRDefault="00732A75">
      <w:pPr>
        <w:pStyle w:val="BodyText"/>
        <w:kinsoku w:val="0"/>
        <w:overflowPunct w:val="0"/>
        <w:spacing w:before="0" w:line="200" w:lineRule="atLeast"/>
        <w:ind w:left="743" w:firstLine="0"/>
        <w:rPr>
          <w:rFonts w:ascii="Times New Roman" w:hAnsi="Times New Roman" w:cs="Times New Roman"/>
          <w:sz w:val="20"/>
          <w:szCs w:val="20"/>
        </w:rPr>
        <w:sectPr w:rsidR="00732A75" w:rsidSect="003672F7">
          <w:headerReference w:type="default" r:id="rId45"/>
          <w:pgSz w:w="16840" w:h="11910" w:orient="landscape"/>
          <w:pgMar w:top="720" w:right="720" w:bottom="720" w:left="720" w:header="552" w:footer="750" w:gutter="0"/>
          <w:cols w:space="720"/>
          <w:noEndnote/>
          <w:docGrid w:linePitch="326"/>
        </w:sectPr>
      </w:pPr>
    </w:p>
    <w:p w:rsidR="003672F7" w:rsidRPr="005B2CED" w:rsidRDefault="005B2CED" w:rsidP="005E1EF0">
      <w:pPr>
        <w:pStyle w:val="Heading1"/>
        <w:rPr>
          <w:spacing w:val="-18"/>
        </w:rPr>
      </w:pPr>
      <w:r w:rsidRPr="005B2CED">
        <w:rPr>
          <w:spacing w:val="-17"/>
        </w:rPr>
        <w:t>Proposed</w:t>
      </w:r>
      <w:r w:rsidRPr="005B2CED">
        <w:rPr>
          <w:spacing w:val="-79"/>
        </w:rPr>
        <w:t xml:space="preserve"> </w:t>
      </w:r>
      <w:r w:rsidRPr="005B2CED">
        <w:t>Activities</w:t>
      </w:r>
      <w:r w:rsidRPr="005B2CED">
        <w:rPr>
          <w:spacing w:val="-43"/>
        </w:rPr>
        <w:t xml:space="preserve"> </w:t>
      </w:r>
      <w:r w:rsidRPr="005B2CED">
        <w:rPr>
          <w:spacing w:val="-10"/>
        </w:rPr>
        <w:t>to</w:t>
      </w:r>
      <w:r w:rsidRPr="005B2CED">
        <w:rPr>
          <w:spacing w:val="-46"/>
        </w:rPr>
        <w:t xml:space="preserve"> </w:t>
      </w:r>
      <w:r w:rsidRPr="005B2CED">
        <w:rPr>
          <w:spacing w:val="-17"/>
        </w:rPr>
        <w:t>Increase</w:t>
      </w:r>
      <w:r w:rsidRPr="005B2CED">
        <w:rPr>
          <w:spacing w:val="-74"/>
        </w:rPr>
        <w:t xml:space="preserve"> </w:t>
      </w:r>
      <w:r w:rsidRPr="005B2CED">
        <w:t>Awareness</w:t>
      </w:r>
      <w:r w:rsidRPr="005B2CED">
        <w:rPr>
          <w:spacing w:val="-48"/>
        </w:rPr>
        <w:t xml:space="preserve"> 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48"/>
        <w:rPr>
          <w:color w:val="000000"/>
        </w:rPr>
      </w:pPr>
      <w:r>
        <w:rPr>
          <w:color w:val="000000"/>
          <w:spacing w:val="-1"/>
        </w:rPr>
        <w:t>Online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7"/>
        </w:rPr>
        <w:t>FAQs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</w:rPr>
        <w:t>Brochures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rPr>
          <w:color w:val="000000"/>
        </w:rPr>
      </w:pPr>
      <w:proofErr w:type="spellStart"/>
      <w:r>
        <w:rPr>
          <w:color w:val="000000"/>
          <w:spacing w:val="-1"/>
        </w:rPr>
        <w:t>Biosimilars</w:t>
      </w:r>
      <w:proofErr w:type="spellEnd"/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>counselling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pad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  <w:spacing w:val="-1"/>
        </w:rPr>
        <w:t>Presentations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-25"/>
        </w:rPr>
        <w:t xml:space="preserve"> </w:t>
      </w:r>
      <w:r>
        <w:rPr>
          <w:color w:val="000000"/>
        </w:rPr>
        <w:t>conferences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line="250" w:lineRule="auto"/>
        <w:ind w:right="1728"/>
        <w:rPr>
          <w:color w:val="000000"/>
        </w:rPr>
      </w:pPr>
      <w:r>
        <w:rPr>
          <w:color w:val="000000"/>
          <w:spacing w:val="-1"/>
        </w:rPr>
        <w:t>Ongoing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updating</w:t>
      </w:r>
      <w:r>
        <w:rPr>
          <w:color w:val="000000"/>
        </w:rPr>
        <w:t xml:space="preserve"> of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"/>
        </w:rPr>
        <w:t>literature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review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dissemination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29"/>
          <w:w w:val="99"/>
        </w:rPr>
        <w:t xml:space="preserve"> </w:t>
      </w:r>
      <w:r>
        <w:rPr>
          <w:color w:val="000000"/>
        </w:rPr>
        <w:t>results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96"/>
        <w:rPr>
          <w:color w:val="000000"/>
        </w:rPr>
      </w:pPr>
      <w:r>
        <w:rPr>
          <w:color w:val="000000"/>
          <w:spacing w:val="-1"/>
        </w:rPr>
        <w:t>Articles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1"/>
        </w:rPr>
        <w:t>for</w:t>
      </w:r>
      <w:r>
        <w:rPr>
          <w:color w:val="000000"/>
          <w:spacing w:val="-19"/>
        </w:rPr>
        <w:t xml:space="preserve"> </w:t>
      </w:r>
      <w:r>
        <w:rPr>
          <w:color w:val="000000"/>
          <w:spacing w:val="-1"/>
        </w:rPr>
        <w:t>journals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newsletters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</w:rPr>
        <w:t>Engagement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2"/>
        </w:rPr>
        <w:t>key</w:t>
      </w:r>
      <w:r>
        <w:rPr>
          <w:color w:val="000000"/>
          <w:spacing w:val="-24"/>
        </w:rPr>
        <w:t xml:space="preserve"> </w:t>
      </w:r>
      <w:r>
        <w:rPr>
          <w:color w:val="000000"/>
        </w:rPr>
        <w:t>professional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groups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  <w:spacing w:val="-1"/>
        </w:rPr>
        <w:t>Online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CPD</w:t>
      </w:r>
    </w:p>
    <w:p w:rsidR="00732A75" w:rsidRDefault="00732A75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rPr>
          <w:color w:val="000000"/>
        </w:rPr>
        <w:sectPr w:rsidR="00732A75">
          <w:headerReference w:type="default" r:id="rId46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732A75" w:rsidRPr="005E1EF0" w:rsidRDefault="00732A75" w:rsidP="005E1EF0">
      <w:pPr>
        <w:pStyle w:val="Heading1"/>
        <w:ind w:left="1689" w:firstLine="471"/>
        <w:rPr>
          <w:b/>
          <w:color w:val="000000"/>
        </w:rPr>
      </w:pPr>
      <w:r w:rsidRPr="005E1EF0">
        <w:rPr>
          <w:b/>
          <w:spacing w:val="-1"/>
        </w:rPr>
        <w:t>Further</w:t>
      </w:r>
      <w:r w:rsidRPr="005E1EF0">
        <w:rPr>
          <w:b/>
        </w:rPr>
        <w:t xml:space="preserve"> Information</w:t>
      </w:r>
    </w:p>
    <w:p w:rsidR="00732A75" w:rsidRDefault="00C601D2" w:rsidP="00B53ED1">
      <w:pPr>
        <w:pStyle w:val="BodyText"/>
        <w:kinsoku w:val="0"/>
        <w:overflowPunct w:val="0"/>
        <w:spacing w:before="10"/>
        <w:ind w:left="2423" w:firstLine="0"/>
      </w:pPr>
      <w:hyperlink r:id="rId47" w:history="1">
        <w:proofErr w:type="spellStart"/>
        <w:r w:rsidR="00025B50">
          <w:rPr>
            <w:rStyle w:val="Hyperlink"/>
          </w:rPr>
          <w:t>Biosimilars</w:t>
        </w:r>
        <w:proofErr w:type="spellEnd"/>
        <w:r w:rsidR="00025B50">
          <w:rPr>
            <w:rStyle w:val="Hyperlink"/>
          </w:rPr>
          <w:t xml:space="preserve"> Awareness </w:t>
        </w:r>
        <w:proofErr w:type="spellStart"/>
        <w:r w:rsidR="00025B50">
          <w:rPr>
            <w:rStyle w:val="Hyperlink"/>
          </w:rPr>
          <w:t>Initaitive</w:t>
        </w:r>
        <w:proofErr w:type="spellEnd"/>
      </w:hyperlink>
    </w:p>
    <w:p w:rsidR="00B53ED1" w:rsidRDefault="00B53ED1">
      <w:pPr>
        <w:pStyle w:val="BodyText"/>
        <w:kinsoku w:val="0"/>
        <w:overflowPunct w:val="0"/>
        <w:spacing w:before="10"/>
        <w:ind w:left="0" w:firstLine="0"/>
        <w:rPr>
          <w:sz w:val="60"/>
          <w:szCs w:val="60"/>
        </w:rPr>
      </w:pPr>
    </w:p>
    <w:p w:rsidR="00732A75" w:rsidRPr="005E1EF0" w:rsidRDefault="00732A75" w:rsidP="005E1EF0">
      <w:pPr>
        <w:pStyle w:val="Heading1"/>
        <w:ind w:left="1689" w:firstLine="471"/>
        <w:rPr>
          <w:b/>
          <w:color w:val="000000"/>
        </w:rPr>
      </w:pPr>
      <w:r w:rsidRPr="005E1EF0">
        <w:rPr>
          <w:b/>
        </w:rPr>
        <w:t>Questions</w:t>
      </w:r>
    </w:p>
    <w:p w:rsidR="00732A75" w:rsidRDefault="00C601D2" w:rsidP="00B53ED1">
      <w:pPr>
        <w:pStyle w:val="BodyText"/>
        <w:kinsoku w:val="0"/>
        <w:overflowPunct w:val="0"/>
        <w:spacing w:before="28"/>
        <w:ind w:left="2423" w:firstLine="0"/>
        <w:rPr>
          <w:color w:val="153F7A"/>
          <w:sz w:val="56"/>
          <w:szCs w:val="56"/>
        </w:rPr>
      </w:pPr>
      <w:hyperlink r:id="rId48" w:history="1">
        <w:r w:rsidR="00B53ED1" w:rsidRPr="00907937">
          <w:rPr>
            <w:rStyle w:val="Hyperlink"/>
            <w:sz w:val="56"/>
            <w:szCs w:val="56"/>
          </w:rPr>
          <w:t>NMP@health.gov.au</w:t>
        </w:r>
      </w:hyperlink>
    </w:p>
    <w:sectPr w:rsidR="00732A75" w:rsidSect="003672F7">
      <w:headerReference w:type="default" r:id="rId49"/>
      <w:pgSz w:w="16840" w:h="11910" w:orient="landscape"/>
      <w:pgMar w:top="5103" w:right="1100" w:bottom="940" w:left="1100" w:header="552" w:footer="7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C5D" w:rsidRDefault="00503C5D">
      <w:r>
        <w:separator/>
      </w:r>
    </w:p>
  </w:endnote>
  <w:endnote w:type="continuationSeparator" w:id="0">
    <w:p w:rsidR="00503C5D" w:rsidRDefault="0050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1D2" w:rsidRDefault="00C601D2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Default="00732A7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Default="00732A7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Default="00732A7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Default="00732A7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1D2" w:rsidRDefault="00C601D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Default="00732A7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Default="00732A7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Default="00732A7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Default="00732A7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Default="00732A7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Default="00732A75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C5D" w:rsidRDefault="00503C5D">
      <w:r>
        <w:separator/>
      </w:r>
    </w:p>
  </w:footnote>
  <w:footnote w:type="continuationSeparator" w:id="0">
    <w:p w:rsidR="00503C5D" w:rsidRDefault="00503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1D2" w:rsidRDefault="00C601D2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Pr="002037CE" w:rsidRDefault="002037CE" w:rsidP="002037CE">
    <w:pPr>
      <w:pStyle w:val="Header"/>
    </w:pPr>
    <w:r>
      <w:rPr>
        <w:noProof/>
      </w:rPr>
      <w:drawing>
        <wp:inline distT="0" distB="0" distL="0" distR="0" wp14:anchorId="63145F74" wp14:editId="1F9ECDF8">
          <wp:extent cx="9296400" cy="1385570"/>
          <wp:effectExtent l="0" t="0" r="0" b="5080"/>
          <wp:docPr id="230" name="Picture 230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Pr="003672F7" w:rsidRDefault="003672F7" w:rsidP="003672F7">
    <w:pPr>
      <w:pStyle w:val="Header"/>
    </w:pPr>
    <w:r>
      <w:rPr>
        <w:noProof/>
      </w:rPr>
      <w:drawing>
        <wp:inline distT="0" distB="0" distL="0" distR="0" wp14:anchorId="0CB9CE45" wp14:editId="4F2AEC88">
          <wp:extent cx="9296400" cy="1385570"/>
          <wp:effectExtent l="0" t="0" r="0" b="5080"/>
          <wp:docPr id="231" name="Picture 231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Pr="003672F7" w:rsidRDefault="003672F7" w:rsidP="003672F7">
    <w:pPr>
      <w:pStyle w:val="Header"/>
    </w:pPr>
    <w:r>
      <w:rPr>
        <w:noProof/>
      </w:rPr>
      <w:drawing>
        <wp:inline distT="0" distB="0" distL="0" distR="0" wp14:anchorId="06142839" wp14:editId="4E57BAB8">
          <wp:extent cx="9296400" cy="1385570"/>
          <wp:effectExtent l="0" t="0" r="0" b="5080"/>
          <wp:docPr id="232" name="Picture 232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Pr="003672F7" w:rsidRDefault="003672F7" w:rsidP="003672F7">
    <w:pPr>
      <w:pStyle w:val="Header"/>
    </w:pPr>
    <w:r>
      <w:rPr>
        <w:noProof/>
      </w:rPr>
      <w:drawing>
        <wp:inline distT="0" distB="0" distL="0" distR="0" wp14:anchorId="6D0FCE09" wp14:editId="126010E7">
          <wp:extent cx="9296400" cy="1385570"/>
          <wp:effectExtent l="0" t="0" r="0" b="5080"/>
          <wp:docPr id="233" name="Picture 233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Default="003672F7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  <w:r>
      <w:rPr>
        <w:noProof/>
      </w:rPr>
      <w:drawing>
        <wp:inline distT="0" distB="0" distL="0" distR="0" wp14:anchorId="38DDB3BC" wp14:editId="2C450F89">
          <wp:extent cx="9296400" cy="1385570"/>
          <wp:effectExtent l="0" t="0" r="0" b="5080"/>
          <wp:docPr id="234" name="Picture 234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Pr="003672F7" w:rsidRDefault="003672F7" w:rsidP="003672F7">
    <w:pPr>
      <w:pStyle w:val="Header"/>
    </w:pPr>
    <w:r>
      <w:rPr>
        <w:noProof/>
      </w:rPr>
      <w:drawing>
        <wp:inline distT="0" distB="0" distL="0" distR="0" wp14:anchorId="1116207F" wp14:editId="18E973AB">
          <wp:extent cx="9296400" cy="1385570"/>
          <wp:effectExtent l="0" t="0" r="0" b="5080"/>
          <wp:docPr id="235" name="Picture 235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Pr="003672F7" w:rsidRDefault="003672F7" w:rsidP="003672F7">
    <w:pPr>
      <w:pStyle w:val="Header"/>
    </w:pPr>
    <w:r>
      <w:rPr>
        <w:noProof/>
      </w:rPr>
      <w:drawing>
        <wp:inline distT="0" distB="0" distL="0" distR="0" wp14:anchorId="40B3E646" wp14:editId="5095E6D7">
          <wp:extent cx="9296400" cy="1385570"/>
          <wp:effectExtent l="0" t="0" r="0" b="5080"/>
          <wp:docPr id="236" name="Picture 236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Pr="003672F7" w:rsidRDefault="003672F7" w:rsidP="003672F7">
    <w:pPr>
      <w:pStyle w:val="Header"/>
    </w:pPr>
    <w:r>
      <w:rPr>
        <w:noProof/>
      </w:rPr>
      <w:drawing>
        <wp:inline distT="0" distB="0" distL="0" distR="0" wp14:anchorId="32537DDE" wp14:editId="48108C35">
          <wp:extent cx="9296400" cy="1385570"/>
          <wp:effectExtent l="0" t="0" r="0" b="5080"/>
          <wp:docPr id="237" name="Picture 237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Pr="00B10078" w:rsidRDefault="00B10078" w:rsidP="00B10078">
    <w:pPr>
      <w:pStyle w:val="Header"/>
    </w:pPr>
    <w:r>
      <w:rPr>
        <w:noProof/>
      </w:rPr>
      <w:drawing>
        <wp:inline distT="0" distB="0" distL="0" distR="0" wp14:anchorId="3C0F49B3" wp14:editId="318B2E0C">
          <wp:extent cx="9296400" cy="1385856"/>
          <wp:effectExtent l="0" t="0" r="0" b="5080"/>
          <wp:docPr id="159" name="Picture 159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8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1D2" w:rsidRDefault="00C601D2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Pr="00B10078" w:rsidRDefault="00B10078" w:rsidP="00B10078">
    <w:pPr>
      <w:pStyle w:val="Header"/>
    </w:pPr>
    <w:r>
      <w:rPr>
        <w:noProof/>
      </w:rPr>
      <w:drawing>
        <wp:inline distT="0" distB="0" distL="0" distR="0" wp14:anchorId="5A061C04" wp14:editId="376DBA44">
          <wp:extent cx="9296400" cy="1385570"/>
          <wp:effectExtent l="0" t="0" r="0" b="5080"/>
          <wp:docPr id="162" name="Picture 162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Pr="00B10078" w:rsidRDefault="00B10078" w:rsidP="00B10078">
    <w:pPr>
      <w:pStyle w:val="Header"/>
    </w:pPr>
    <w:r>
      <w:rPr>
        <w:noProof/>
      </w:rPr>
      <w:drawing>
        <wp:inline distT="0" distB="0" distL="0" distR="0" wp14:anchorId="5A061C04" wp14:editId="376DBA44">
          <wp:extent cx="9296400" cy="1385570"/>
          <wp:effectExtent l="0" t="0" r="0" b="5080"/>
          <wp:docPr id="163" name="Picture 163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Pr="00B10078" w:rsidRDefault="00B10078" w:rsidP="00B10078">
    <w:pPr>
      <w:pStyle w:val="Header"/>
    </w:pPr>
    <w:r>
      <w:rPr>
        <w:noProof/>
      </w:rPr>
      <w:drawing>
        <wp:inline distT="0" distB="0" distL="0" distR="0" wp14:anchorId="5A061C04" wp14:editId="376DBA44">
          <wp:extent cx="9296400" cy="1385570"/>
          <wp:effectExtent l="0" t="0" r="0" b="5080"/>
          <wp:docPr id="164" name="Picture 164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Default="006C0021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  <w:r>
      <w:rPr>
        <w:noProof/>
      </w:rPr>
      <w:drawing>
        <wp:inline distT="0" distB="0" distL="0" distR="0" wp14:anchorId="5A061C04" wp14:editId="376DBA44">
          <wp:extent cx="9296400" cy="1385570"/>
          <wp:effectExtent l="0" t="0" r="0" b="5080"/>
          <wp:docPr id="227" name="Picture 227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Pr="006C0021" w:rsidRDefault="006C0021" w:rsidP="006C0021">
    <w:pPr>
      <w:pStyle w:val="Header"/>
    </w:pPr>
    <w:r>
      <w:rPr>
        <w:noProof/>
      </w:rPr>
      <w:drawing>
        <wp:inline distT="0" distB="0" distL="0" distR="0" wp14:anchorId="0F92542B" wp14:editId="7BB39C95">
          <wp:extent cx="9296400" cy="1385570"/>
          <wp:effectExtent l="0" t="0" r="0" b="5080"/>
          <wp:docPr id="228" name="Picture 228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75" w:rsidRPr="002037CE" w:rsidRDefault="002037CE" w:rsidP="002037CE">
    <w:pPr>
      <w:pStyle w:val="Header"/>
    </w:pPr>
    <w:r>
      <w:rPr>
        <w:noProof/>
      </w:rPr>
      <w:drawing>
        <wp:inline distT="0" distB="0" distL="0" distR="0" wp14:anchorId="36AEA58F" wp14:editId="651239C3">
          <wp:extent cx="9296400" cy="1385570"/>
          <wp:effectExtent l="0" t="0" r="0" b="5080"/>
          <wp:docPr id="1" name="Picture 1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left="1266" w:hanging="288"/>
      </w:pPr>
      <w:rPr>
        <w:rFonts w:ascii="Arial" w:hAnsi="Arial"/>
        <w:b w:val="0"/>
        <w:color w:val="C5B01C"/>
        <w:sz w:val="34"/>
      </w:rPr>
    </w:lvl>
    <w:lvl w:ilvl="1">
      <w:numFmt w:val="bullet"/>
      <w:lvlText w:val="•"/>
      <w:lvlJc w:val="left"/>
      <w:pPr>
        <w:ind w:left="1698" w:hanging="288"/>
      </w:pPr>
      <w:rPr>
        <w:rFonts w:ascii="Arial" w:hAnsi="Arial"/>
        <w:b w:val="0"/>
        <w:color w:val="C5B01C"/>
        <w:w w:val="102"/>
        <w:sz w:val="30"/>
      </w:rPr>
    </w:lvl>
    <w:lvl w:ilvl="2">
      <w:numFmt w:val="bullet"/>
      <w:lvlText w:val="•"/>
      <w:lvlJc w:val="left"/>
      <w:pPr>
        <w:ind w:left="1698" w:hanging="288"/>
      </w:pPr>
    </w:lvl>
    <w:lvl w:ilvl="3">
      <w:numFmt w:val="bullet"/>
      <w:lvlText w:val="•"/>
      <w:lvlJc w:val="left"/>
      <w:pPr>
        <w:ind w:left="3315" w:hanging="288"/>
      </w:pPr>
    </w:lvl>
    <w:lvl w:ilvl="4">
      <w:numFmt w:val="bullet"/>
      <w:lvlText w:val="•"/>
      <w:lvlJc w:val="left"/>
      <w:pPr>
        <w:ind w:left="4932" w:hanging="288"/>
      </w:pPr>
    </w:lvl>
    <w:lvl w:ilvl="5">
      <w:numFmt w:val="bullet"/>
      <w:lvlText w:val="•"/>
      <w:lvlJc w:val="left"/>
      <w:pPr>
        <w:ind w:left="6549" w:hanging="288"/>
      </w:pPr>
    </w:lvl>
    <w:lvl w:ilvl="6">
      <w:numFmt w:val="bullet"/>
      <w:lvlText w:val="•"/>
      <w:lvlJc w:val="left"/>
      <w:pPr>
        <w:ind w:left="8166" w:hanging="288"/>
      </w:pPr>
    </w:lvl>
    <w:lvl w:ilvl="7">
      <w:numFmt w:val="bullet"/>
      <w:lvlText w:val="•"/>
      <w:lvlJc w:val="left"/>
      <w:pPr>
        <w:ind w:left="9782" w:hanging="288"/>
      </w:pPr>
    </w:lvl>
    <w:lvl w:ilvl="8">
      <w:numFmt w:val="bullet"/>
      <w:lvlText w:val="•"/>
      <w:lvlJc w:val="left"/>
      <w:pPr>
        <w:ind w:left="11399" w:hanging="288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removePersonalInformation/>
  <w:removeDateAndTime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85"/>
    <w:rsid w:val="00003A67"/>
    <w:rsid w:val="00025B50"/>
    <w:rsid w:val="00124C89"/>
    <w:rsid w:val="001626DD"/>
    <w:rsid w:val="002037CE"/>
    <w:rsid w:val="0028240A"/>
    <w:rsid w:val="002A2194"/>
    <w:rsid w:val="002A39FF"/>
    <w:rsid w:val="003672F7"/>
    <w:rsid w:val="003D2121"/>
    <w:rsid w:val="003D2E89"/>
    <w:rsid w:val="00434F17"/>
    <w:rsid w:val="00503C5D"/>
    <w:rsid w:val="005B2CED"/>
    <w:rsid w:val="005B3270"/>
    <w:rsid w:val="005E1EF0"/>
    <w:rsid w:val="006C0021"/>
    <w:rsid w:val="00732A75"/>
    <w:rsid w:val="007823BE"/>
    <w:rsid w:val="00907937"/>
    <w:rsid w:val="009A3DB5"/>
    <w:rsid w:val="009B4F09"/>
    <w:rsid w:val="00A7604B"/>
    <w:rsid w:val="00A83E9B"/>
    <w:rsid w:val="00AD0F03"/>
    <w:rsid w:val="00B10078"/>
    <w:rsid w:val="00B53ED1"/>
    <w:rsid w:val="00B806B1"/>
    <w:rsid w:val="00BF250A"/>
    <w:rsid w:val="00C601D2"/>
    <w:rsid w:val="00E10585"/>
    <w:rsid w:val="00F2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7"/>
      <w:ind w:left="969"/>
      <w:outlineLvl w:val="0"/>
    </w:pPr>
    <w:rPr>
      <w:rFonts w:ascii="Arial" w:hAnsi="Arial" w:cs="Arial"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2423"/>
      <w:outlineLvl w:val="1"/>
    </w:pPr>
    <w:rPr>
      <w:rFonts w:ascii="Arial" w:hAnsi="Arial" w:cs="Arial"/>
      <w:b/>
      <w:bCs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29"/>
      <w:ind w:left="978"/>
      <w:outlineLvl w:val="2"/>
    </w:pPr>
    <w:rPr>
      <w:rFonts w:ascii="Arial" w:hAnsi="Arial" w:cs="Arial"/>
      <w:sz w:val="56"/>
      <w:szCs w:val="56"/>
    </w:rPr>
  </w:style>
  <w:style w:type="paragraph" w:styleId="Heading4">
    <w:name w:val="heading 4"/>
    <w:basedOn w:val="Normal"/>
    <w:next w:val="Normal"/>
    <w:link w:val="Heading4Char"/>
    <w:uiPriority w:val="1"/>
    <w:qFormat/>
    <w:pPr>
      <w:ind w:left="20"/>
      <w:outlineLvl w:val="3"/>
    </w:pPr>
    <w:rPr>
      <w:rFonts w:ascii="Arial" w:hAnsi="Arial" w:cs="Arial"/>
      <w:sz w:val="48"/>
      <w:szCs w:val="4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B2CE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spacing w:before="116"/>
      <w:ind w:left="1266" w:hanging="288"/>
    </w:pPr>
    <w:rPr>
      <w:rFonts w:ascii="Arial" w:hAnsi="Arial" w:cs="Arial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F25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250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25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250A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53E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3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3B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5B2C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A219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21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1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A21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7"/>
      <w:ind w:left="969"/>
      <w:outlineLvl w:val="0"/>
    </w:pPr>
    <w:rPr>
      <w:rFonts w:ascii="Arial" w:hAnsi="Arial" w:cs="Arial"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2423"/>
      <w:outlineLvl w:val="1"/>
    </w:pPr>
    <w:rPr>
      <w:rFonts w:ascii="Arial" w:hAnsi="Arial" w:cs="Arial"/>
      <w:b/>
      <w:bCs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29"/>
      <w:ind w:left="978"/>
      <w:outlineLvl w:val="2"/>
    </w:pPr>
    <w:rPr>
      <w:rFonts w:ascii="Arial" w:hAnsi="Arial" w:cs="Arial"/>
      <w:sz w:val="56"/>
      <w:szCs w:val="56"/>
    </w:rPr>
  </w:style>
  <w:style w:type="paragraph" w:styleId="Heading4">
    <w:name w:val="heading 4"/>
    <w:basedOn w:val="Normal"/>
    <w:next w:val="Normal"/>
    <w:link w:val="Heading4Char"/>
    <w:uiPriority w:val="1"/>
    <w:qFormat/>
    <w:pPr>
      <w:ind w:left="20"/>
      <w:outlineLvl w:val="3"/>
    </w:pPr>
    <w:rPr>
      <w:rFonts w:ascii="Arial" w:hAnsi="Arial" w:cs="Arial"/>
      <w:sz w:val="48"/>
      <w:szCs w:val="4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B2CE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spacing w:before="116"/>
      <w:ind w:left="1266" w:hanging="288"/>
    </w:pPr>
    <w:rPr>
      <w:rFonts w:ascii="Arial" w:hAnsi="Arial" w:cs="Arial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F25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250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25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250A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53E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3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3B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5B2C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A219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21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1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A21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9" Type="http://schemas.openxmlformats.org/officeDocument/2006/relationships/footer" Target="footer11.xml"/><Relationship Id="rId3" Type="http://schemas.microsoft.com/office/2007/relationships/stylesWithEffects" Target="stylesWithEffects.xml"/><Relationship Id="rId21" Type="http://schemas.openxmlformats.org/officeDocument/2006/relationships/image" Target="media/image30.jpeg"/><Relationship Id="rId34" Type="http://schemas.openxmlformats.org/officeDocument/2006/relationships/footer" Target="footer10.xml"/><Relationship Id="rId42" Type="http://schemas.openxmlformats.org/officeDocument/2006/relationships/image" Target="media/image8.jpeg"/><Relationship Id="rId47" Type="http://schemas.openxmlformats.org/officeDocument/2006/relationships/hyperlink" Target="http://www.health.gov.au/internet/main/publishing.nsf/Content/biosimilar-awareness-initiative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20.jpeg"/><Relationship Id="rId25" Type="http://schemas.openxmlformats.org/officeDocument/2006/relationships/header" Target="header7.xml"/><Relationship Id="rId33" Type="http://schemas.openxmlformats.org/officeDocument/2006/relationships/header" Target="header10.xml"/><Relationship Id="rId38" Type="http://schemas.openxmlformats.org/officeDocument/2006/relationships/header" Target="header12.xml"/><Relationship Id="rId46" Type="http://schemas.openxmlformats.org/officeDocument/2006/relationships/header" Target="header16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3.jpeg"/><Relationship Id="rId29" Type="http://schemas.openxmlformats.org/officeDocument/2006/relationships/image" Target="media/image5.jpeg"/><Relationship Id="rId41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32" Type="http://schemas.openxmlformats.org/officeDocument/2006/relationships/image" Target="media/image6.jpeg"/><Relationship Id="rId37" Type="http://schemas.openxmlformats.org/officeDocument/2006/relationships/image" Target="media/image70.jpeg"/><Relationship Id="rId40" Type="http://schemas.openxmlformats.org/officeDocument/2006/relationships/header" Target="header13.xml"/><Relationship Id="rId45" Type="http://schemas.openxmlformats.org/officeDocument/2006/relationships/header" Target="header15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6.xml"/><Relationship Id="rId28" Type="http://schemas.openxmlformats.org/officeDocument/2006/relationships/header" Target="header8.xml"/><Relationship Id="rId36" Type="http://schemas.openxmlformats.org/officeDocument/2006/relationships/image" Target="media/image7.jpeg"/><Relationship Id="rId49" Type="http://schemas.openxmlformats.org/officeDocument/2006/relationships/header" Target="header17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footer" Target="footer9.xml"/><Relationship Id="rId44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6.xml"/><Relationship Id="rId27" Type="http://schemas.openxmlformats.org/officeDocument/2006/relationships/image" Target="media/image4.jpeg"/><Relationship Id="rId30" Type="http://schemas.openxmlformats.org/officeDocument/2006/relationships/header" Target="header9.xml"/><Relationship Id="rId35" Type="http://schemas.openxmlformats.org/officeDocument/2006/relationships/header" Target="header11.xml"/><Relationship Id="rId43" Type="http://schemas.openxmlformats.org/officeDocument/2006/relationships/header" Target="header14.xml"/><Relationship Id="rId48" Type="http://schemas.openxmlformats.org/officeDocument/2006/relationships/hyperlink" Target="mailto:NMP@health.gov.au" TargetMode="External"/><Relationship Id="rId8" Type="http://schemas.openxmlformats.org/officeDocument/2006/relationships/header" Target="header1.xml"/><Relationship Id="rId51" Type="http://schemas.openxmlformats.org/officeDocument/2006/relationships/theme" Target="theme/theme1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378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2017-04-27T02:28:00Z</dcterms:created>
  <dcterms:modified xsi:type="dcterms:W3CDTF">2017-04-27T02:28:00Z</dcterms:modified>
</cp:coreProperties>
</file>