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C097E0" w14:textId="4E95B74C" w:rsidR="000A36B0" w:rsidRDefault="00ED3062" w:rsidP="00F32964">
      <w:pPr>
        <w:pStyle w:val="BodyCopy"/>
      </w:pPr>
      <w:r>
        <w:rPr>
          <w:noProof/>
          <w:lang w:eastAsia="en-AU"/>
        </w:rPr>
        <mc:AlternateContent>
          <mc:Choice Requires="wps">
            <w:drawing>
              <wp:inline distT="0" distB="0" distL="0" distR="0" wp14:anchorId="6EC7C8E8" wp14:editId="7F6DD9B8">
                <wp:extent cx="3333600" cy="2408400"/>
                <wp:effectExtent l="0" t="0" r="635" b="0"/>
                <wp:docPr id="45" name="Freeform 36" descr="Project titl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33600" cy="2408400"/>
                        </a:xfrm>
                        <a:custGeom>
                          <a:avLst/>
                          <a:gdLst>
                            <a:gd name="T0" fmla="*/ 91 w 4196"/>
                            <a:gd name="T1" fmla="*/ 0 h 2722"/>
                            <a:gd name="T2" fmla="*/ 0 w 4196"/>
                            <a:gd name="T3" fmla="*/ 91 h 2722"/>
                            <a:gd name="T4" fmla="*/ 0 w 4196"/>
                            <a:gd name="T5" fmla="*/ 2631 h 2722"/>
                            <a:gd name="T6" fmla="*/ 91 w 4196"/>
                            <a:gd name="T7" fmla="*/ 2722 h 2722"/>
                            <a:gd name="T8" fmla="*/ 4105 w 4196"/>
                            <a:gd name="T9" fmla="*/ 2722 h 2722"/>
                            <a:gd name="T10" fmla="*/ 4196 w 4196"/>
                            <a:gd name="T11" fmla="*/ 2631 h 2722"/>
                            <a:gd name="T12" fmla="*/ 4196 w 4196"/>
                            <a:gd name="T13" fmla="*/ 91 h 2722"/>
                            <a:gd name="T14" fmla="*/ 4105 w 4196"/>
                            <a:gd name="T15" fmla="*/ 0 h 2722"/>
                            <a:gd name="T16" fmla="*/ 91 w 4196"/>
                            <a:gd name="T17" fmla="*/ 0 h 27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96" h="2722">
                              <a:moveTo>
                                <a:pt x="91" y="0"/>
                              </a:moveTo>
                              <a:cubicBezTo>
                                <a:pt x="91" y="0"/>
                                <a:pt x="0" y="0"/>
                                <a:pt x="0" y="91"/>
                              </a:cubicBezTo>
                              <a:lnTo>
                                <a:pt x="0" y="2631"/>
                              </a:lnTo>
                              <a:cubicBezTo>
                                <a:pt x="0" y="2631"/>
                                <a:pt x="0" y="2722"/>
                                <a:pt x="91" y="2722"/>
                              </a:cubicBezTo>
                              <a:lnTo>
                                <a:pt x="4105" y="2722"/>
                              </a:lnTo>
                              <a:cubicBezTo>
                                <a:pt x="4105" y="2722"/>
                                <a:pt x="4196" y="2722"/>
                                <a:pt x="4196" y="2631"/>
                              </a:cubicBezTo>
                              <a:lnTo>
                                <a:pt x="4196" y="91"/>
                              </a:lnTo>
                              <a:cubicBezTo>
                                <a:pt x="4196" y="91"/>
                                <a:pt x="4196" y="0"/>
                                <a:pt x="4105" y="0"/>
                              </a:cubicBezTo>
                              <a:lnTo>
                                <a:pt x="91" y="0"/>
                              </a:lnTo>
                              <a:close/>
                            </a:path>
                          </a:pathLst>
                        </a:custGeom>
                        <a:solidFill>
                          <a:schemeClr val="bg1"/>
                        </a:solidFill>
                        <a:ln w="0">
                          <a:noFill/>
                          <a:prstDash val="solid"/>
                          <a:round/>
                          <a:headEnd/>
                          <a:tailEnd/>
                        </a:ln>
                      </wps:spPr>
                      <wps:txbx>
                        <w:txbxContent>
                          <w:tbl>
                            <w:tblPr>
                              <w:tblStyle w:val="TableGrid"/>
                              <w:tblOverlap w:val="never"/>
                              <w:tblW w:w="0" w:type="auto"/>
                              <w:tblBorders>
                                <w:top w:val="single" w:sz="8" w:space="0" w:color="000000" w:themeColor="text1"/>
                                <w:insideV w:val="single" w:sz="4" w:space="0" w:color="000000" w:themeColor="text1"/>
                              </w:tblBorders>
                              <w:tblLayout w:type="fixed"/>
                              <w:tblLook w:val="04A0" w:firstRow="1" w:lastRow="0" w:firstColumn="1" w:lastColumn="0" w:noHBand="0" w:noVBand="1"/>
                              <w:tblCaption w:val="Report title"/>
                              <w:tblDescription w:val="Australian Government Department of Health; Review of Ongoing Pharmacy Workforce Programs - Detailed Analysis of Workforce Programs; 19 September 2017"/>
                            </w:tblPr>
                            <w:tblGrid>
                              <w:gridCol w:w="4579"/>
                            </w:tblGrid>
                            <w:tr w:rsidR="00AC1A4F" w14:paraId="7B38648E" w14:textId="77777777" w:rsidTr="004223B1">
                              <w:trPr>
                                <w:cantSplit/>
                                <w:trHeight w:val="25"/>
                                <w:tblHeader/>
                              </w:trPr>
                              <w:tc>
                                <w:tcPr>
                                  <w:tcW w:w="4579" w:type="dxa"/>
                                  <w:tcBorders>
                                    <w:top w:val="single" w:sz="8" w:space="0" w:color="000000" w:themeColor="text1"/>
                                    <w:bottom w:val="single" w:sz="4" w:space="0" w:color="000000" w:themeColor="text1"/>
                                  </w:tcBorders>
                                  <w:tcMar>
                                    <w:top w:w="170" w:type="dxa"/>
                                  </w:tcMar>
                                </w:tcPr>
                                <w:p w14:paraId="29068C12" w14:textId="263ECFF8" w:rsidR="00AC1A4F" w:rsidRDefault="00AC1A4F" w:rsidP="00885776">
                                  <w:pPr>
                                    <w:suppressOverlap/>
                                  </w:pPr>
                                  <w:r>
                                    <w:rPr>
                                      <w:rFonts w:asciiTheme="majorHAnsi" w:hAnsiTheme="majorHAnsi"/>
                                      <w:caps/>
                                      <w:sz w:val="24"/>
                                    </w:rPr>
                                    <w:t xml:space="preserve">Australian Government </w:t>
                                  </w:r>
                                  <w:r>
                                    <w:rPr>
                                      <w:rFonts w:asciiTheme="majorHAnsi" w:hAnsiTheme="majorHAnsi"/>
                                      <w:caps/>
                                      <w:sz w:val="24"/>
                                    </w:rPr>
                                    <w:br/>
                                    <w:t>Department of Health</w:t>
                                  </w:r>
                                </w:p>
                              </w:tc>
                            </w:tr>
                            <w:tr w:rsidR="00AC1A4F" w14:paraId="078605B0" w14:textId="77777777" w:rsidTr="004223B1">
                              <w:trPr>
                                <w:cantSplit/>
                                <w:trHeight w:val="1368"/>
                              </w:trPr>
                              <w:tc>
                                <w:tcPr>
                                  <w:tcW w:w="4579" w:type="dxa"/>
                                  <w:tcBorders>
                                    <w:top w:val="single" w:sz="4" w:space="0" w:color="000000" w:themeColor="text1"/>
                                  </w:tcBorders>
                                  <w:tcMar>
                                    <w:top w:w="142" w:type="dxa"/>
                                  </w:tcMar>
                                </w:tcPr>
                                <w:p w14:paraId="3D768982" w14:textId="52D65D8D" w:rsidR="00AC1A4F" w:rsidRDefault="00AC1A4F" w:rsidP="00885776">
                                  <w:pPr>
                                    <w:suppressOverlap/>
                                  </w:pPr>
                                  <w:r w:rsidRPr="009A65BB">
                                    <w:rPr>
                                      <w:rStyle w:val="DocumentTitleChar"/>
                                    </w:rPr>
                                    <w:t xml:space="preserve">Review of </w:t>
                                  </w:r>
                                  <w:r>
                                    <w:rPr>
                                      <w:rStyle w:val="DocumentTitleChar"/>
                                    </w:rPr>
                                    <w:t>O</w:t>
                                  </w:r>
                                  <w:r w:rsidRPr="009A65BB">
                                    <w:rPr>
                                      <w:rStyle w:val="DocumentTitleChar"/>
                                    </w:rPr>
                                    <w:t>ngoing Pharmacy Workforce Programs</w:t>
                                  </w:r>
                                </w:p>
                              </w:tc>
                            </w:tr>
                            <w:tr w:rsidR="00AC1A4F" w14:paraId="5C3C0EF6" w14:textId="77777777" w:rsidTr="004223B1">
                              <w:trPr>
                                <w:cantSplit/>
                                <w:trHeight w:val="425"/>
                              </w:trPr>
                              <w:tc>
                                <w:tcPr>
                                  <w:tcW w:w="4579" w:type="dxa"/>
                                  <w:tcBorders>
                                    <w:bottom w:val="single" w:sz="4" w:space="0" w:color="000000" w:themeColor="text1"/>
                                  </w:tcBorders>
                                </w:tcPr>
                                <w:p w14:paraId="3B94F306" w14:textId="344AACD6" w:rsidR="00AC1A4F" w:rsidRDefault="00AC1A4F" w:rsidP="00885776">
                                  <w:pPr>
                                    <w:spacing w:after="142"/>
                                    <w:suppressOverlap/>
                                  </w:pPr>
                                  <w:r>
                                    <w:rPr>
                                      <w:rStyle w:val="DocumentInfoChar"/>
                                    </w:rPr>
                                    <w:t>Detailed Analysis of Workforce Programs</w:t>
                                  </w:r>
                                </w:p>
                              </w:tc>
                            </w:tr>
                            <w:tr w:rsidR="00AC1A4F" w14:paraId="11079937" w14:textId="77777777" w:rsidTr="004223B1">
                              <w:trPr>
                                <w:cantSplit/>
                                <w:trHeight w:val="30"/>
                              </w:trPr>
                              <w:tc>
                                <w:tcPr>
                                  <w:tcW w:w="4579" w:type="dxa"/>
                                  <w:tcBorders>
                                    <w:top w:val="single" w:sz="4" w:space="0" w:color="000000" w:themeColor="text1"/>
                                  </w:tcBorders>
                                  <w:tcMar>
                                    <w:top w:w="130" w:type="dxa"/>
                                  </w:tcMar>
                                </w:tcPr>
                                <w:p w14:paraId="0716CEC9" w14:textId="3F3C28A5" w:rsidR="00AC1A4F" w:rsidRDefault="00AC1A4F" w:rsidP="00885776">
                                  <w:pPr>
                                    <w:suppressOverlap/>
                                  </w:pPr>
                                  <w:r>
                                    <w:rPr>
                                      <w:rStyle w:val="DocumentPublishDateChar"/>
                                    </w:rPr>
                                    <w:t>19 September 2017</w:t>
                                  </w:r>
                                </w:p>
                              </w:tc>
                            </w:tr>
                          </w:tbl>
                          <w:p w14:paraId="6B8D7C30" w14:textId="77777777" w:rsidR="00AC1A4F" w:rsidRPr="00B87449" w:rsidRDefault="00AC1A4F" w:rsidP="00F7494B">
                            <w:pPr>
                              <w:spacing w:after="200" w:line="240" w:lineRule="auto"/>
                              <w:rPr>
                                <w:sz w:val="2"/>
                                <w:szCs w:val="2"/>
                              </w:rPr>
                            </w:pPr>
                          </w:p>
                        </w:txbxContent>
                      </wps:txbx>
                      <wps:bodyPr rot="0" vert="horz" wrap="square" lIns="216000" tIns="144000" rIns="216000" bIns="0" anchor="t" anchorCtr="0" upright="1">
                        <a:spAutoFit/>
                      </wps:bodyPr>
                    </wps:wsp>
                  </a:graphicData>
                </a:graphic>
              </wp:inline>
            </w:drawing>
          </mc:Choice>
          <mc:Fallback>
            <w:pict>
              <v:shape w14:anchorId="6EC7C8E8" id="Freeform 36" o:spid="_x0000_s1026" alt="Project title" style="width:262.5pt;height:189.65pt;visibility:visible;mso-wrap-style:square;mso-left-percent:-10001;mso-top-percent:-10001;mso-position-horizontal:absolute;mso-position-horizontal-relative:char;mso-position-vertical:absolute;mso-position-vertical-relative:line;mso-left-percent:-10001;mso-top-percent:-10001;v-text-anchor:top" coordsize="4196,27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" adj="-11796480,,5400" path="m91,c91,,,,,91l,2631v,,,91,91,91l4105,2722v,,91,,91,-91l4196,91v,,,-91,-91,-91l91,xe" fillcolor="white [3212]" stroked="f" strokeweight="0">
                <v:stroke joinstyle="round"/>
                <v:formulas/>
                <v:path arrowok="t" o:connecttype="custom" o:connectlocs="72297,0;0,80516;0,2327884;72297,2408400;3261303,2408400;3333600,2327884;3333600,80516;3261303,0;72297,0" o:connectangles="0,0,0,0,0,0,0,0,0" textboxrect="0,0,4196,2722"/>
                <v:textbox style="mso-fit-shape-to-text:t" inset="6mm,4mm,6mm,0">
                  <w:txbxContent>
                    <w:tbl>
                      <w:tblPr>
                        <w:tblStyle w:val="TableGrid"/>
                        <w:tblOverlap w:val="never"/>
                        <w:tblW w:w="0" w:type="auto"/>
                        <w:tblBorders>
                          <w:top w:val="single" w:sz="8" w:space="0" w:color="000000" w:themeColor="text1"/>
                          <w:insideV w:val="single" w:sz="4" w:space="0" w:color="000000" w:themeColor="text1"/>
                        </w:tblBorders>
                        <w:tblLayout w:type="fixed"/>
                        <w:tblLook w:val="04A0" w:firstRow="1" w:lastRow="0" w:firstColumn="1" w:lastColumn="0" w:noHBand="0" w:noVBand="1"/>
                        <w:tblCaption w:val="Report title"/>
                        <w:tblDescription w:val="Australian Government Department of Health; Review of Ongoing Pharmacy Workforce Programs - Detailed Analysis of Workforce Programs; 19 September 2017"/>
                      </w:tblPr>
                      <w:tblGrid>
                        <w:gridCol w:w="4579"/>
                      </w:tblGrid>
                      <w:tr w:rsidR="00AC1A4F" w14:paraId="7B38648E" w14:textId="77777777" w:rsidTr="004223B1">
                        <w:trPr>
                          <w:cantSplit/>
                          <w:trHeight w:val="25"/>
                          <w:tblHeader/>
                        </w:trPr>
                        <w:tc>
                          <w:tcPr>
                            <w:tcW w:w="4579" w:type="dxa"/>
                            <w:tcBorders>
                              <w:top w:val="single" w:sz="8" w:space="0" w:color="000000" w:themeColor="text1"/>
                              <w:bottom w:val="single" w:sz="4" w:space="0" w:color="000000" w:themeColor="text1"/>
                            </w:tcBorders>
                            <w:tcMar>
                              <w:top w:w="170" w:type="dxa"/>
                            </w:tcMar>
                          </w:tcPr>
                          <w:p w14:paraId="29068C12" w14:textId="263ECFF8" w:rsidR="00AC1A4F" w:rsidRDefault="00AC1A4F" w:rsidP="00885776">
                            <w:pPr>
                              <w:suppressOverlap/>
                            </w:pPr>
                            <w:r>
                              <w:rPr>
                                <w:rFonts w:asciiTheme="majorHAnsi" w:hAnsiTheme="majorHAnsi"/>
                                <w:caps/>
                                <w:sz w:val="24"/>
                              </w:rPr>
                              <w:t xml:space="preserve">Australian Government </w:t>
                            </w:r>
                            <w:r>
                              <w:rPr>
                                <w:rFonts w:asciiTheme="majorHAnsi" w:hAnsiTheme="majorHAnsi"/>
                                <w:caps/>
                                <w:sz w:val="24"/>
                              </w:rPr>
                              <w:br/>
                              <w:t>Department of Health</w:t>
                            </w:r>
                          </w:p>
                        </w:tc>
                      </w:tr>
                      <w:tr w:rsidR="00AC1A4F" w14:paraId="078605B0" w14:textId="77777777" w:rsidTr="004223B1">
                        <w:trPr>
                          <w:cantSplit/>
                          <w:trHeight w:val="1368"/>
                        </w:trPr>
                        <w:tc>
                          <w:tcPr>
                            <w:tcW w:w="4579" w:type="dxa"/>
                            <w:tcBorders>
                              <w:top w:val="single" w:sz="4" w:space="0" w:color="000000" w:themeColor="text1"/>
                            </w:tcBorders>
                            <w:tcMar>
                              <w:top w:w="142" w:type="dxa"/>
                            </w:tcMar>
                          </w:tcPr>
                          <w:p w14:paraId="3D768982" w14:textId="52D65D8D" w:rsidR="00AC1A4F" w:rsidRDefault="00AC1A4F" w:rsidP="00885776">
                            <w:pPr>
                              <w:suppressOverlap/>
                            </w:pPr>
                            <w:r w:rsidRPr="009A65BB">
                              <w:rPr>
                                <w:rStyle w:val="DocumentTitleChar"/>
                              </w:rPr>
                              <w:t xml:space="preserve">Review of </w:t>
                            </w:r>
                            <w:r>
                              <w:rPr>
                                <w:rStyle w:val="DocumentTitleChar"/>
                              </w:rPr>
                              <w:t>O</w:t>
                            </w:r>
                            <w:r w:rsidRPr="009A65BB">
                              <w:rPr>
                                <w:rStyle w:val="DocumentTitleChar"/>
                              </w:rPr>
                              <w:t>ngoing Pharmacy Workforce Programs</w:t>
                            </w:r>
                          </w:p>
                        </w:tc>
                      </w:tr>
                      <w:tr w:rsidR="00AC1A4F" w14:paraId="5C3C0EF6" w14:textId="77777777" w:rsidTr="004223B1">
                        <w:trPr>
                          <w:cantSplit/>
                          <w:trHeight w:val="425"/>
                        </w:trPr>
                        <w:tc>
                          <w:tcPr>
                            <w:tcW w:w="4579" w:type="dxa"/>
                            <w:tcBorders>
                              <w:bottom w:val="single" w:sz="4" w:space="0" w:color="000000" w:themeColor="text1"/>
                            </w:tcBorders>
                          </w:tcPr>
                          <w:p w14:paraId="3B94F306" w14:textId="344AACD6" w:rsidR="00AC1A4F" w:rsidRDefault="00AC1A4F" w:rsidP="00885776">
                            <w:pPr>
                              <w:spacing w:after="142"/>
                              <w:suppressOverlap/>
                            </w:pPr>
                            <w:r>
                              <w:rPr>
                                <w:rStyle w:val="DocumentInfoChar"/>
                              </w:rPr>
                              <w:t>Detailed Analysis of Workforce Programs</w:t>
                            </w:r>
                          </w:p>
                        </w:tc>
                      </w:tr>
                      <w:tr w:rsidR="00AC1A4F" w14:paraId="11079937" w14:textId="77777777" w:rsidTr="004223B1">
                        <w:trPr>
                          <w:cantSplit/>
                          <w:trHeight w:val="30"/>
                        </w:trPr>
                        <w:tc>
                          <w:tcPr>
                            <w:tcW w:w="4579" w:type="dxa"/>
                            <w:tcBorders>
                              <w:top w:val="single" w:sz="4" w:space="0" w:color="000000" w:themeColor="text1"/>
                            </w:tcBorders>
                            <w:tcMar>
                              <w:top w:w="130" w:type="dxa"/>
                            </w:tcMar>
                          </w:tcPr>
                          <w:p w14:paraId="0716CEC9" w14:textId="3F3C28A5" w:rsidR="00AC1A4F" w:rsidRDefault="00AC1A4F" w:rsidP="00885776">
                            <w:pPr>
                              <w:suppressOverlap/>
                            </w:pPr>
                            <w:r>
                              <w:rPr>
                                <w:rStyle w:val="DocumentPublishDateChar"/>
                              </w:rPr>
                              <w:t>19 September 2017</w:t>
                            </w:r>
                          </w:p>
                        </w:tc>
                      </w:tr>
                    </w:tbl>
                    <w:p w14:paraId="6B8D7C30" w14:textId="77777777" w:rsidR="00AC1A4F" w:rsidRPr="00B87449" w:rsidRDefault="00AC1A4F" w:rsidP="00F7494B">
                      <w:pPr>
                        <w:spacing w:after="200" w:line="240" w:lineRule="auto"/>
                        <w:rPr>
                          <w:sz w:val="2"/>
                          <w:szCs w:val="2"/>
                        </w:rPr>
                      </w:pPr>
                    </w:p>
                  </w:txbxContent>
                </v:textbox>
                <w10:anchorlock/>
              </v:shape>
            </w:pict>
          </mc:Fallback>
        </mc:AlternateContent>
      </w:r>
    </w:p>
    <w:p w14:paraId="7E8F411E" w14:textId="77777777" w:rsidR="000A36B0" w:rsidRDefault="000A36B0" w:rsidP="00F32964">
      <w:pPr>
        <w:sectPr w:rsidR="000A36B0" w:rsidSect="00E21DBD">
          <w:footerReference w:type="even" r:id="rId9"/>
          <w:pgSz w:w="16838" w:h="11906" w:orient="landscape" w:code="9"/>
          <w:pgMar w:top="2451" w:right="737" w:bottom="567" w:left="567" w:header="720" w:footer="720" w:gutter="0"/>
          <w:cols w:num="2" w:space="227"/>
          <w:docGrid w:linePitch="360"/>
        </w:sectPr>
      </w:pPr>
    </w:p>
    <w:p w14:paraId="58C20672" w14:textId="77777777" w:rsidR="00C61DC7" w:rsidRDefault="00C61DC7" w:rsidP="00F32964">
      <w:pPr>
        <w:pStyle w:val="BodyCopy"/>
      </w:pPr>
    </w:p>
    <w:tbl>
      <w:tblPr>
        <w:tblStyle w:val="TableGrid"/>
        <w:tblpPr w:leftFromText="181" w:rightFromText="181" w:vertAnchor="page" w:horzAnchor="page" w:tblpX="738" w:tblpY="6890"/>
        <w:tblW w:w="15139" w:type="dxa"/>
        <w:tblLayout w:type="fixed"/>
        <w:tblLook w:val="04A0" w:firstRow="1" w:lastRow="0" w:firstColumn="1" w:lastColumn="0" w:noHBand="0" w:noVBand="1"/>
        <w:tblCaption w:val="Vision and Mission Statements"/>
        <w:tblDescription w:val="OUR VISION&#10;To positively impact people’s lives by helping create better health services&#10;OUR MISSION&#10;To use our management consulting skills to provide expert advice and support to health funders, service providers and users&#10;"/>
      </w:tblPr>
      <w:tblGrid>
        <w:gridCol w:w="7230"/>
        <w:gridCol w:w="425"/>
        <w:gridCol w:w="7484"/>
      </w:tblGrid>
      <w:tr w:rsidR="00BC68AE" w14:paraId="7D7E7FF5" w14:textId="77777777" w:rsidTr="00A60213">
        <w:trPr>
          <w:tblHeader/>
        </w:trPr>
        <w:tc>
          <w:tcPr>
            <w:tcW w:w="7230" w:type="dxa"/>
          </w:tcPr>
          <w:p w14:paraId="267E28A5" w14:textId="77777777" w:rsidR="00BC68AE" w:rsidRDefault="00A57FB8" w:rsidP="004A7D10">
            <w:pPr>
              <w:pStyle w:val="MissionStatementHeading"/>
              <w:framePr w:hSpace="0" w:wrap="auto" w:vAnchor="margin" w:hAnchor="text" w:yAlign="inline"/>
            </w:pPr>
            <w:r>
              <w:t>OUR VISION</w:t>
            </w:r>
          </w:p>
          <w:p w14:paraId="50EA04A0" w14:textId="77777777" w:rsidR="00A57FB8" w:rsidRDefault="00A57FB8" w:rsidP="004A7D10">
            <w:pPr>
              <w:pStyle w:val="MissionStatementBody"/>
              <w:framePr w:wrap="auto" w:vAnchor="margin" w:yAlign="inline"/>
            </w:pPr>
            <w:r>
              <w:t xml:space="preserve">To positively impact people’s lives </w:t>
            </w:r>
            <w:r w:rsidR="004C4FE3">
              <w:br/>
            </w:r>
            <w:r>
              <w:t>by helping create better health services</w:t>
            </w:r>
          </w:p>
        </w:tc>
        <w:tc>
          <w:tcPr>
            <w:tcW w:w="425" w:type="dxa"/>
          </w:tcPr>
          <w:p w14:paraId="3CC0614A" w14:textId="77777777" w:rsidR="00BC68AE" w:rsidRDefault="00BC68AE" w:rsidP="004A7D10"/>
        </w:tc>
        <w:tc>
          <w:tcPr>
            <w:tcW w:w="7484" w:type="dxa"/>
          </w:tcPr>
          <w:p w14:paraId="3B6134B1" w14:textId="77777777" w:rsidR="00BC68AE" w:rsidRDefault="00A57FB8" w:rsidP="004A7D10">
            <w:pPr>
              <w:pStyle w:val="MissionStatementHeading"/>
              <w:framePr w:hSpace="0" w:wrap="auto" w:vAnchor="margin" w:hAnchor="text" w:yAlign="inline"/>
            </w:pPr>
            <w:r>
              <w:t>OUR MISSION</w:t>
            </w:r>
          </w:p>
          <w:p w14:paraId="1B2F37DB" w14:textId="661721FB" w:rsidR="00A57FB8" w:rsidRDefault="00DC4A59" w:rsidP="004A7D10">
            <w:pPr>
              <w:pStyle w:val="MissionStatementBody"/>
              <w:framePr w:wrap="auto" w:vAnchor="margin" w:yAlign="inline"/>
            </w:pPr>
            <w:r w:rsidRPr="00DC4A59">
              <w:t>To use our management consulting skills to provide expert advice and support to health funders, service providers and users</w:t>
            </w:r>
          </w:p>
        </w:tc>
      </w:tr>
    </w:tbl>
    <w:p w14:paraId="78FFCB11" w14:textId="77777777" w:rsidR="000252C3" w:rsidRDefault="000252C3" w:rsidP="00F32964"/>
    <w:p w14:paraId="081E4F21" w14:textId="77777777" w:rsidR="00FF4C44" w:rsidRDefault="00FF4C44" w:rsidP="00F32964">
      <w:pPr>
        <w:sectPr w:rsidR="00FF4C44" w:rsidSect="00995147">
          <w:headerReference w:type="default" r:id="rId10"/>
          <w:footerReference w:type="default" r:id="rId11"/>
          <w:pgSz w:w="16838" w:h="11906" w:orient="landscape" w:code="9"/>
          <w:pgMar w:top="2268" w:right="1304" w:bottom="851" w:left="737" w:header="567" w:footer="284" w:gutter="0"/>
          <w:cols w:num="2" w:space="227"/>
          <w:docGrid w:linePitch="360"/>
        </w:sectPr>
      </w:pPr>
    </w:p>
    <w:p w14:paraId="571C1338" w14:textId="33500529" w:rsidR="00735952" w:rsidRDefault="00735952" w:rsidP="00735952">
      <w:pPr>
        <w:pStyle w:val="Heading1"/>
        <w:numPr>
          <w:ilvl w:val="0"/>
          <w:numId w:val="0"/>
        </w:numPr>
        <w:ind w:left="737" w:hanging="737"/>
      </w:pPr>
      <w:bookmarkStart w:id="0" w:name="_Toc523318787"/>
      <w:r>
        <w:lastRenderedPageBreak/>
        <w:t>TABLE OF CONTENTS</w:t>
      </w:r>
      <w:bookmarkEnd w:id="0"/>
    </w:p>
    <w:p w14:paraId="6EBF7024" w14:textId="319D50EB" w:rsidR="00CB1ECD" w:rsidRDefault="00B830D0">
      <w:pPr>
        <w:pStyle w:val="TOC2"/>
        <w:rPr>
          <w:rFonts w:asciiTheme="minorHAnsi" w:eastAsiaTheme="minorEastAsia" w:hAnsiTheme="minorHAnsi" w:cstheme="minorBidi"/>
          <w:caps w:val="0"/>
          <w:noProof/>
          <w:color w:val="auto"/>
          <w:spacing w:val="0"/>
          <w:sz w:val="22"/>
          <w:szCs w:val="22"/>
          <w:u w:val="none"/>
          <w:lang w:eastAsia="en-AU"/>
        </w:rPr>
      </w:pPr>
      <w:r w:rsidRPr="0089011F">
        <w:fldChar w:fldCharType="begin"/>
      </w:r>
      <w:r w:rsidRPr="0089011F">
        <w:instrText xml:space="preserve"> TOC \h \z \t "Heading 1,2,Heading 2,3,Heading 3,4,Section Page Title,5,ES Heading 1,1,Heading Appendix 2,3" </w:instrText>
      </w:r>
      <w:r w:rsidRPr="0089011F">
        <w:fldChar w:fldCharType="separate"/>
      </w:r>
      <w:hyperlink w:anchor="_Toc523318787" w:history="1">
        <w:r w:rsidR="00CB1ECD" w:rsidRPr="00E02256">
          <w:rPr>
            <w:rStyle w:val="Hyperlink"/>
            <w:noProof/>
          </w:rPr>
          <w:t>TABLE OF CONTENTS</w:t>
        </w:r>
        <w:r w:rsidR="00CB1ECD">
          <w:rPr>
            <w:noProof/>
            <w:webHidden/>
          </w:rPr>
          <w:tab/>
        </w:r>
        <w:r w:rsidR="00CB1ECD">
          <w:rPr>
            <w:noProof/>
            <w:webHidden/>
          </w:rPr>
          <w:fldChar w:fldCharType="begin"/>
        </w:r>
        <w:r w:rsidR="00CB1ECD">
          <w:rPr>
            <w:noProof/>
            <w:webHidden/>
          </w:rPr>
          <w:instrText xml:space="preserve"> PAGEREF _Toc523318787 \h </w:instrText>
        </w:r>
        <w:r w:rsidR="00CB1ECD">
          <w:rPr>
            <w:noProof/>
            <w:webHidden/>
          </w:rPr>
        </w:r>
        <w:r w:rsidR="00CB1ECD">
          <w:rPr>
            <w:noProof/>
            <w:webHidden/>
          </w:rPr>
          <w:fldChar w:fldCharType="separate"/>
        </w:r>
        <w:r w:rsidR="001B37BA">
          <w:rPr>
            <w:noProof/>
            <w:webHidden/>
          </w:rPr>
          <w:t>0</w:t>
        </w:r>
        <w:r w:rsidR="00CB1ECD">
          <w:rPr>
            <w:noProof/>
            <w:webHidden/>
          </w:rPr>
          <w:fldChar w:fldCharType="end"/>
        </w:r>
      </w:hyperlink>
    </w:p>
    <w:p w14:paraId="413E041F" w14:textId="5B177BEE" w:rsidR="00CB1ECD" w:rsidRDefault="00AC1A4F">
      <w:pPr>
        <w:pStyle w:val="TOC2"/>
        <w:rPr>
          <w:rFonts w:asciiTheme="minorHAnsi" w:eastAsiaTheme="minorEastAsia" w:hAnsiTheme="minorHAnsi" w:cstheme="minorBidi"/>
          <w:caps w:val="0"/>
          <w:noProof/>
          <w:color w:val="auto"/>
          <w:spacing w:val="0"/>
          <w:sz w:val="22"/>
          <w:szCs w:val="22"/>
          <w:u w:val="none"/>
          <w:lang w:eastAsia="en-AU"/>
        </w:rPr>
      </w:pPr>
      <w:hyperlink w:anchor="_Toc523318788" w:history="1">
        <w:r w:rsidR="00CB1ECD" w:rsidRPr="00E02256">
          <w:rPr>
            <w:rStyle w:val="Hyperlink"/>
            <w:noProof/>
          </w:rPr>
          <w:t>Abbreviations</w:t>
        </w:r>
        <w:r w:rsidR="00CB1ECD">
          <w:rPr>
            <w:noProof/>
            <w:webHidden/>
          </w:rPr>
          <w:tab/>
        </w:r>
        <w:r w:rsidR="00CB1ECD">
          <w:rPr>
            <w:noProof/>
            <w:webHidden/>
          </w:rPr>
          <w:fldChar w:fldCharType="begin"/>
        </w:r>
        <w:r w:rsidR="00CB1ECD">
          <w:rPr>
            <w:noProof/>
            <w:webHidden/>
          </w:rPr>
          <w:instrText xml:space="preserve"> PAGEREF _Toc523318788 \h </w:instrText>
        </w:r>
        <w:r w:rsidR="00CB1ECD">
          <w:rPr>
            <w:noProof/>
            <w:webHidden/>
          </w:rPr>
        </w:r>
        <w:r w:rsidR="00CB1ECD">
          <w:rPr>
            <w:noProof/>
            <w:webHidden/>
          </w:rPr>
          <w:fldChar w:fldCharType="separate"/>
        </w:r>
        <w:r w:rsidR="001B37BA">
          <w:rPr>
            <w:noProof/>
            <w:webHidden/>
          </w:rPr>
          <w:t>i</w:t>
        </w:r>
        <w:r w:rsidR="00CB1ECD">
          <w:rPr>
            <w:noProof/>
            <w:webHidden/>
          </w:rPr>
          <w:fldChar w:fldCharType="end"/>
        </w:r>
      </w:hyperlink>
    </w:p>
    <w:p w14:paraId="0330FA99" w14:textId="5EBB8492" w:rsidR="00CB1ECD" w:rsidRDefault="00AC1A4F">
      <w:pPr>
        <w:pStyle w:val="TOC2"/>
        <w:rPr>
          <w:rFonts w:asciiTheme="minorHAnsi" w:eastAsiaTheme="minorEastAsia" w:hAnsiTheme="minorHAnsi" w:cstheme="minorBidi"/>
          <w:caps w:val="0"/>
          <w:noProof/>
          <w:color w:val="auto"/>
          <w:spacing w:val="0"/>
          <w:sz w:val="22"/>
          <w:szCs w:val="22"/>
          <w:u w:val="none"/>
          <w:lang w:eastAsia="en-AU"/>
        </w:rPr>
      </w:pPr>
      <w:hyperlink w:anchor="_Toc523318789" w:history="1">
        <w:r w:rsidR="00CB1ECD" w:rsidRPr="00E02256">
          <w:rPr>
            <w:rStyle w:val="Hyperlink"/>
            <w:noProof/>
          </w:rPr>
          <w:t>Executive SUmmary</w:t>
        </w:r>
        <w:r w:rsidR="00CB1ECD">
          <w:rPr>
            <w:noProof/>
            <w:webHidden/>
          </w:rPr>
          <w:tab/>
        </w:r>
        <w:r w:rsidR="00CB1ECD">
          <w:rPr>
            <w:noProof/>
            <w:webHidden/>
          </w:rPr>
          <w:fldChar w:fldCharType="begin"/>
        </w:r>
        <w:r w:rsidR="00CB1ECD">
          <w:rPr>
            <w:noProof/>
            <w:webHidden/>
          </w:rPr>
          <w:instrText xml:space="preserve"> PAGEREF _Toc523318789 \h </w:instrText>
        </w:r>
        <w:r w:rsidR="00CB1ECD">
          <w:rPr>
            <w:noProof/>
            <w:webHidden/>
          </w:rPr>
        </w:r>
        <w:r w:rsidR="00CB1ECD">
          <w:rPr>
            <w:noProof/>
            <w:webHidden/>
          </w:rPr>
          <w:fldChar w:fldCharType="separate"/>
        </w:r>
        <w:r w:rsidR="001B37BA">
          <w:rPr>
            <w:noProof/>
            <w:webHidden/>
          </w:rPr>
          <w:t>ii</w:t>
        </w:r>
        <w:r w:rsidR="00CB1ECD">
          <w:rPr>
            <w:noProof/>
            <w:webHidden/>
          </w:rPr>
          <w:fldChar w:fldCharType="end"/>
        </w:r>
      </w:hyperlink>
    </w:p>
    <w:p w14:paraId="090A7130" w14:textId="31ED47A9" w:rsidR="00CB1ECD" w:rsidRDefault="00AC1A4F">
      <w:pPr>
        <w:pStyle w:val="TOC2"/>
        <w:rPr>
          <w:rFonts w:asciiTheme="minorHAnsi" w:eastAsiaTheme="minorEastAsia" w:hAnsiTheme="minorHAnsi" w:cstheme="minorBidi"/>
          <w:caps w:val="0"/>
          <w:noProof/>
          <w:color w:val="auto"/>
          <w:spacing w:val="0"/>
          <w:sz w:val="22"/>
          <w:szCs w:val="22"/>
          <w:u w:val="none"/>
          <w:lang w:eastAsia="en-AU"/>
        </w:rPr>
      </w:pPr>
      <w:hyperlink w:anchor="_Toc523318790" w:history="1">
        <w:r w:rsidR="00CB1ECD" w:rsidRPr="00E02256">
          <w:rPr>
            <w:rStyle w:val="Hyperlink"/>
            <w:noProof/>
          </w:rPr>
          <w:t>1</w:t>
        </w:r>
        <w:r w:rsidR="00CB1ECD">
          <w:rPr>
            <w:rFonts w:asciiTheme="minorHAnsi" w:eastAsiaTheme="minorEastAsia" w:hAnsiTheme="minorHAnsi" w:cstheme="minorBidi"/>
            <w:caps w:val="0"/>
            <w:noProof/>
            <w:color w:val="auto"/>
            <w:spacing w:val="0"/>
            <w:sz w:val="22"/>
            <w:szCs w:val="22"/>
            <w:u w:val="none"/>
            <w:lang w:eastAsia="en-AU"/>
          </w:rPr>
          <w:tab/>
        </w:r>
        <w:r w:rsidR="00CB1ECD" w:rsidRPr="00E02256">
          <w:rPr>
            <w:rStyle w:val="Hyperlink"/>
            <w:noProof/>
          </w:rPr>
          <w:t>Introduction</w:t>
        </w:r>
        <w:r w:rsidR="00CB1ECD">
          <w:rPr>
            <w:noProof/>
            <w:webHidden/>
          </w:rPr>
          <w:tab/>
        </w:r>
        <w:r w:rsidR="00CB1ECD">
          <w:rPr>
            <w:noProof/>
            <w:webHidden/>
          </w:rPr>
          <w:fldChar w:fldCharType="begin"/>
        </w:r>
        <w:r w:rsidR="00CB1ECD">
          <w:rPr>
            <w:noProof/>
            <w:webHidden/>
          </w:rPr>
          <w:instrText xml:space="preserve"> PAGEREF _Toc523318790 \h </w:instrText>
        </w:r>
        <w:r w:rsidR="00CB1ECD">
          <w:rPr>
            <w:noProof/>
            <w:webHidden/>
          </w:rPr>
        </w:r>
        <w:r w:rsidR="00CB1ECD">
          <w:rPr>
            <w:noProof/>
            <w:webHidden/>
          </w:rPr>
          <w:fldChar w:fldCharType="separate"/>
        </w:r>
        <w:r w:rsidR="001B37BA">
          <w:rPr>
            <w:noProof/>
            <w:webHidden/>
          </w:rPr>
          <w:t>1</w:t>
        </w:r>
        <w:r w:rsidR="00CB1ECD">
          <w:rPr>
            <w:noProof/>
            <w:webHidden/>
          </w:rPr>
          <w:fldChar w:fldCharType="end"/>
        </w:r>
      </w:hyperlink>
    </w:p>
    <w:p w14:paraId="70A4FB5B" w14:textId="04B69874" w:rsidR="00CB1ECD" w:rsidRDefault="00AC1A4F">
      <w:pPr>
        <w:pStyle w:val="TOC3"/>
        <w:rPr>
          <w:rFonts w:asciiTheme="minorHAnsi" w:eastAsiaTheme="minorEastAsia" w:hAnsiTheme="minorHAnsi" w:cstheme="minorBidi"/>
          <w:caps w:val="0"/>
          <w:noProof/>
          <w:color w:val="auto"/>
          <w:sz w:val="22"/>
          <w:szCs w:val="22"/>
          <w:lang w:eastAsia="en-AU"/>
        </w:rPr>
      </w:pPr>
      <w:hyperlink w:anchor="_Toc523318791" w:history="1">
        <w:r w:rsidR="00CB1ECD" w:rsidRPr="00E02256">
          <w:rPr>
            <w:rStyle w:val="Hyperlink"/>
            <w:noProof/>
          </w:rPr>
          <w:t>1.1</w:t>
        </w:r>
        <w:r w:rsidR="00CB1ECD">
          <w:rPr>
            <w:rFonts w:asciiTheme="minorHAnsi" w:eastAsiaTheme="minorEastAsia" w:hAnsiTheme="minorHAnsi" w:cstheme="minorBidi"/>
            <w:caps w:val="0"/>
            <w:noProof/>
            <w:color w:val="auto"/>
            <w:sz w:val="22"/>
            <w:szCs w:val="22"/>
            <w:lang w:eastAsia="en-AU"/>
          </w:rPr>
          <w:tab/>
        </w:r>
        <w:r w:rsidR="00CB1ECD" w:rsidRPr="00E02256">
          <w:rPr>
            <w:rStyle w:val="Hyperlink"/>
            <w:noProof/>
          </w:rPr>
          <w:t>project background</w:t>
        </w:r>
        <w:r w:rsidR="00CB1ECD">
          <w:rPr>
            <w:noProof/>
            <w:webHidden/>
          </w:rPr>
          <w:tab/>
        </w:r>
        <w:r w:rsidR="00CB1ECD">
          <w:rPr>
            <w:noProof/>
            <w:webHidden/>
          </w:rPr>
          <w:fldChar w:fldCharType="begin"/>
        </w:r>
        <w:r w:rsidR="00CB1ECD">
          <w:rPr>
            <w:noProof/>
            <w:webHidden/>
          </w:rPr>
          <w:instrText xml:space="preserve"> PAGEREF _Toc523318791 \h </w:instrText>
        </w:r>
        <w:r w:rsidR="00CB1ECD">
          <w:rPr>
            <w:noProof/>
            <w:webHidden/>
          </w:rPr>
        </w:r>
        <w:r w:rsidR="00CB1ECD">
          <w:rPr>
            <w:noProof/>
            <w:webHidden/>
          </w:rPr>
          <w:fldChar w:fldCharType="separate"/>
        </w:r>
        <w:r w:rsidR="001B37BA">
          <w:rPr>
            <w:noProof/>
            <w:webHidden/>
          </w:rPr>
          <w:t>1</w:t>
        </w:r>
        <w:r w:rsidR="00CB1ECD">
          <w:rPr>
            <w:noProof/>
            <w:webHidden/>
          </w:rPr>
          <w:fldChar w:fldCharType="end"/>
        </w:r>
      </w:hyperlink>
    </w:p>
    <w:p w14:paraId="044BB662" w14:textId="414C7342" w:rsidR="00CB1ECD" w:rsidRDefault="00AC1A4F">
      <w:pPr>
        <w:pStyle w:val="TOC4"/>
        <w:rPr>
          <w:rFonts w:asciiTheme="minorHAnsi" w:eastAsiaTheme="minorEastAsia" w:hAnsiTheme="minorHAnsi" w:cstheme="minorBidi"/>
          <w:color w:val="auto"/>
          <w:spacing w:val="0"/>
          <w:sz w:val="22"/>
          <w:szCs w:val="22"/>
          <w:lang w:eastAsia="en-AU"/>
        </w:rPr>
      </w:pPr>
      <w:hyperlink w:anchor="_Toc523318792" w:history="1">
        <w:r w:rsidR="00CB1ECD" w:rsidRPr="00E02256">
          <w:rPr>
            <w:rStyle w:val="Hyperlink"/>
          </w:rPr>
          <w:t>1.1.1</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Program aims</w:t>
        </w:r>
        <w:r w:rsidR="00CB1ECD">
          <w:rPr>
            <w:webHidden/>
          </w:rPr>
          <w:tab/>
        </w:r>
        <w:r w:rsidR="00CB1ECD">
          <w:rPr>
            <w:webHidden/>
          </w:rPr>
          <w:fldChar w:fldCharType="begin"/>
        </w:r>
        <w:r w:rsidR="00CB1ECD">
          <w:rPr>
            <w:webHidden/>
          </w:rPr>
          <w:instrText xml:space="preserve"> PAGEREF _Toc523318792 \h </w:instrText>
        </w:r>
        <w:r w:rsidR="00CB1ECD">
          <w:rPr>
            <w:webHidden/>
          </w:rPr>
        </w:r>
        <w:r w:rsidR="00CB1ECD">
          <w:rPr>
            <w:webHidden/>
          </w:rPr>
          <w:fldChar w:fldCharType="separate"/>
        </w:r>
        <w:r w:rsidR="001B37BA">
          <w:rPr>
            <w:webHidden/>
          </w:rPr>
          <w:t>1</w:t>
        </w:r>
        <w:r w:rsidR="00CB1ECD">
          <w:rPr>
            <w:webHidden/>
          </w:rPr>
          <w:fldChar w:fldCharType="end"/>
        </w:r>
      </w:hyperlink>
    </w:p>
    <w:p w14:paraId="67A07A2F" w14:textId="3AB81085" w:rsidR="00CB1ECD" w:rsidRDefault="00AC1A4F">
      <w:pPr>
        <w:pStyle w:val="TOC3"/>
        <w:rPr>
          <w:rFonts w:asciiTheme="minorHAnsi" w:eastAsiaTheme="minorEastAsia" w:hAnsiTheme="minorHAnsi" w:cstheme="minorBidi"/>
          <w:caps w:val="0"/>
          <w:noProof/>
          <w:color w:val="auto"/>
          <w:sz w:val="22"/>
          <w:szCs w:val="22"/>
          <w:lang w:eastAsia="en-AU"/>
        </w:rPr>
      </w:pPr>
      <w:hyperlink w:anchor="_Toc523318793" w:history="1">
        <w:r w:rsidR="00CB1ECD" w:rsidRPr="00E02256">
          <w:rPr>
            <w:rStyle w:val="Hyperlink"/>
            <w:noProof/>
          </w:rPr>
          <w:t>1.2</w:t>
        </w:r>
        <w:r w:rsidR="00CB1ECD">
          <w:rPr>
            <w:rFonts w:asciiTheme="minorHAnsi" w:eastAsiaTheme="minorEastAsia" w:hAnsiTheme="minorHAnsi" w:cstheme="minorBidi"/>
            <w:caps w:val="0"/>
            <w:noProof/>
            <w:color w:val="auto"/>
            <w:sz w:val="22"/>
            <w:szCs w:val="22"/>
            <w:lang w:eastAsia="en-AU"/>
          </w:rPr>
          <w:tab/>
        </w:r>
        <w:r w:rsidR="00CB1ECD" w:rsidRPr="00E02256">
          <w:rPr>
            <w:rStyle w:val="Hyperlink"/>
            <w:noProof/>
          </w:rPr>
          <w:t>Data collection methods</w:t>
        </w:r>
        <w:r w:rsidR="00CB1ECD">
          <w:rPr>
            <w:noProof/>
            <w:webHidden/>
          </w:rPr>
          <w:tab/>
        </w:r>
        <w:r w:rsidR="00CB1ECD">
          <w:rPr>
            <w:noProof/>
            <w:webHidden/>
          </w:rPr>
          <w:fldChar w:fldCharType="begin"/>
        </w:r>
        <w:r w:rsidR="00CB1ECD">
          <w:rPr>
            <w:noProof/>
            <w:webHidden/>
          </w:rPr>
          <w:instrText xml:space="preserve"> PAGEREF _Toc523318793 \h </w:instrText>
        </w:r>
        <w:r w:rsidR="00CB1ECD">
          <w:rPr>
            <w:noProof/>
            <w:webHidden/>
          </w:rPr>
        </w:r>
        <w:r w:rsidR="00CB1ECD">
          <w:rPr>
            <w:noProof/>
            <w:webHidden/>
          </w:rPr>
          <w:fldChar w:fldCharType="separate"/>
        </w:r>
        <w:r w:rsidR="001B37BA">
          <w:rPr>
            <w:noProof/>
            <w:webHidden/>
          </w:rPr>
          <w:t>2</w:t>
        </w:r>
        <w:r w:rsidR="00CB1ECD">
          <w:rPr>
            <w:noProof/>
            <w:webHidden/>
          </w:rPr>
          <w:fldChar w:fldCharType="end"/>
        </w:r>
      </w:hyperlink>
    </w:p>
    <w:p w14:paraId="127C39D7" w14:textId="0CC517F7" w:rsidR="00CB1ECD" w:rsidRDefault="00AC1A4F">
      <w:pPr>
        <w:pStyle w:val="TOC3"/>
        <w:rPr>
          <w:rFonts w:asciiTheme="minorHAnsi" w:eastAsiaTheme="minorEastAsia" w:hAnsiTheme="minorHAnsi" w:cstheme="minorBidi"/>
          <w:caps w:val="0"/>
          <w:noProof/>
          <w:color w:val="auto"/>
          <w:sz w:val="22"/>
          <w:szCs w:val="22"/>
          <w:lang w:eastAsia="en-AU"/>
        </w:rPr>
      </w:pPr>
      <w:hyperlink w:anchor="_Toc523318794" w:history="1">
        <w:r w:rsidR="00CB1ECD" w:rsidRPr="00E02256">
          <w:rPr>
            <w:rStyle w:val="Hyperlink"/>
            <w:noProof/>
          </w:rPr>
          <w:t>1.3</w:t>
        </w:r>
        <w:r w:rsidR="00CB1ECD">
          <w:rPr>
            <w:rFonts w:asciiTheme="minorHAnsi" w:eastAsiaTheme="minorEastAsia" w:hAnsiTheme="minorHAnsi" w:cstheme="minorBidi"/>
            <w:caps w:val="0"/>
            <w:noProof/>
            <w:color w:val="auto"/>
            <w:sz w:val="22"/>
            <w:szCs w:val="22"/>
            <w:lang w:eastAsia="en-AU"/>
          </w:rPr>
          <w:tab/>
        </w:r>
        <w:r w:rsidR="00CB1ECD" w:rsidRPr="00E02256">
          <w:rPr>
            <w:rStyle w:val="Hyperlink"/>
            <w:noProof/>
          </w:rPr>
          <w:t>Document structure</w:t>
        </w:r>
        <w:r w:rsidR="00CB1ECD">
          <w:rPr>
            <w:noProof/>
            <w:webHidden/>
          </w:rPr>
          <w:tab/>
        </w:r>
        <w:r w:rsidR="00CB1ECD">
          <w:rPr>
            <w:noProof/>
            <w:webHidden/>
          </w:rPr>
          <w:fldChar w:fldCharType="begin"/>
        </w:r>
        <w:r w:rsidR="00CB1ECD">
          <w:rPr>
            <w:noProof/>
            <w:webHidden/>
          </w:rPr>
          <w:instrText xml:space="preserve"> PAGEREF _Toc523318794 \h </w:instrText>
        </w:r>
        <w:r w:rsidR="00CB1ECD">
          <w:rPr>
            <w:noProof/>
            <w:webHidden/>
          </w:rPr>
        </w:r>
        <w:r w:rsidR="00CB1ECD">
          <w:rPr>
            <w:noProof/>
            <w:webHidden/>
          </w:rPr>
          <w:fldChar w:fldCharType="separate"/>
        </w:r>
        <w:r w:rsidR="001B37BA">
          <w:rPr>
            <w:noProof/>
            <w:webHidden/>
          </w:rPr>
          <w:t>3</w:t>
        </w:r>
        <w:r w:rsidR="00CB1ECD">
          <w:rPr>
            <w:noProof/>
            <w:webHidden/>
          </w:rPr>
          <w:fldChar w:fldCharType="end"/>
        </w:r>
      </w:hyperlink>
    </w:p>
    <w:p w14:paraId="42C39BA3" w14:textId="71F526E0" w:rsidR="00CB1ECD" w:rsidRDefault="00AC1A4F">
      <w:pPr>
        <w:pStyle w:val="TOC2"/>
        <w:rPr>
          <w:rFonts w:asciiTheme="minorHAnsi" w:eastAsiaTheme="minorEastAsia" w:hAnsiTheme="minorHAnsi" w:cstheme="minorBidi"/>
          <w:caps w:val="0"/>
          <w:noProof/>
          <w:color w:val="auto"/>
          <w:spacing w:val="0"/>
          <w:sz w:val="22"/>
          <w:szCs w:val="22"/>
          <w:u w:val="none"/>
          <w:lang w:eastAsia="en-AU"/>
        </w:rPr>
      </w:pPr>
      <w:hyperlink w:anchor="_Toc523318795" w:history="1">
        <w:r w:rsidR="00CB1ECD" w:rsidRPr="00E02256">
          <w:rPr>
            <w:rStyle w:val="Hyperlink"/>
            <w:noProof/>
          </w:rPr>
          <w:t>2</w:t>
        </w:r>
        <w:r w:rsidR="00CB1ECD">
          <w:rPr>
            <w:rFonts w:asciiTheme="minorHAnsi" w:eastAsiaTheme="minorEastAsia" w:hAnsiTheme="minorHAnsi" w:cstheme="minorBidi"/>
            <w:caps w:val="0"/>
            <w:noProof/>
            <w:color w:val="auto"/>
            <w:spacing w:val="0"/>
            <w:sz w:val="22"/>
            <w:szCs w:val="22"/>
            <w:u w:val="none"/>
            <w:lang w:eastAsia="en-AU"/>
          </w:rPr>
          <w:tab/>
        </w:r>
        <w:r w:rsidR="00CB1ECD" w:rsidRPr="00E02256">
          <w:rPr>
            <w:rStyle w:val="Hyperlink"/>
            <w:noProof/>
          </w:rPr>
          <w:t>Workforce recruitment programs</w:t>
        </w:r>
        <w:r w:rsidR="00CB1ECD">
          <w:rPr>
            <w:noProof/>
            <w:webHidden/>
          </w:rPr>
          <w:tab/>
        </w:r>
        <w:r w:rsidR="00CB1ECD">
          <w:rPr>
            <w:noProof/>
            <w:webHidden/>
          </w:rPr>
          <w:fldChar w:fldCharType="begin"/>
        </w:r>
        <w:r w:rsidR="00CB1ECD">
          <w:rPr>
            <w:noProof/>
            <w:webHidden/>
          </w:rPr>
          <w:instrText xml:space="preserve"> PAGEREF _Toc523318795 \h </w:instrText>
        </w:r>
        <w:r w:rsidR="00CB1ECD">
          <w:rPr>
            <w:noProof/>
            <w:webHidden/>
          </w:rPr>
        </w:r>
        <w:r w:rsidR="00CB1ECD">
          <w:rPr>
            <w:noProof/>
            <w:webHidden/>
          </w:rPr>
          <w:fldChar w:fldCharType="separate"/>
        </w:r>
        <w:r w:rsidR="001B37BA">
          <w:rPr>
            <w:noProof/>
            <w:webHidden/>
          </w:rPr>
          <w:t>4</w:t>
        </w:r>
        <w:r w:rsidR="00CB1ECD">
          <w:rPr>
            <w:noProof/>
            <w:webHidden/>
          </w:rPr>
          <w:fldChar w:fldCharType="end"/>
        </w:r>
      </w:hyperlink>
    </w:p>
    <w:p w14:paraId="65368E56" w14:textId="31BF2A7A" w:rsidR="00CB1ECD" w:rsidRDefault="00AC1A4F">
      <w:pPr>
        <w:pStyle w:val="TOC3"/>
        <w:rPr>
          <w:rFonts w:asciiTheme="minorHAnsi" w:eastAsiaTheme="minorEastAsia" w:hAnsiTheme="minorHAnsi" w:cstheme="minorBidi"/>
          <w:caps w:val="0"/>
          <w:noProof/>
          <w:color w:val="auto"/>
          <w:sz w:val="22"/>
          <w:szCs w:val="22"/>
          <w:lang w:eastAsia="en-AU"/>
        </w:rPr>
      </w:pPr>
      <w:hyperlink w:anchor="_Toc523318796" w:history="1">
        <w:r w:rsidR="00CB1ECD" w:rsidRPr="00E02256">
          <w:rPr>
            <w:rStyle w:val="Hyperlink"/>
            <w:noProof/>
          </w:rPr>
          <w:t>2.1</w:t>
        </w:r>
        <w:r w:rsidR="00CB1ECD">
          <w:rPr>
            <w:rFonts w:asciiTheme="minorHAnsi" w:eastAsiaTheme="minorEastAsia" w:hAnsiTheme="minorHAnsi" w:cstheme="minorBidi"/>
            <w:caps w:val="0"/>
            <w:noProof/>
            <w:color w:val="auto"/>
            <w:sz w:val="22"/>
            <w:szCs w:val="22"/>
            <w:lang w:eastAsia="en-AU"/>
          </w:rPr>
          <w:tab/>
        </w:r>
        <w:r w:rsidR="00CB1ECD" w:rsidRPr="00E02256">
          <w:rPr>
            <w:rStyle w:val="Hyperlink"/>
            <w:noProof/>
          </w:rPr>
          <w:t>Rural Pharmacy Scholarship Scheme</w:t>
        </w:r>
        <w:r w:rsidR="00CB1ECD">
          <w:rPr>
            <w:noProof/>
            <w:webHidden/>
          </w:rPr>
          <w:tab/>
        </w:r>
        <w:r w:rsidR="00CB1ECD">
          <w:rPr>
            <w:noProof/>
            <w:webHidden/>
          </w:rPr>
          <w:fldChar w:fldCharType="begin"/>
        </w:r>
        <w:r w:rsidR="00CB1ECD">
          <w:rPr>
            <w:noProof/>
            <w:webHidden/>
          </w:rPr>
          <w:instrText xml:space="preserve"> PAGEREF _Toc523318796 \h </w:instrText>
        </w:r>
        <w:r w:rsidR="00CB1ECD">
          <w:rPr>
            <w:noProof/>
            <w:webHidden/>
          </w:rPr>
        </w:r>
        <w:r w:rsidR="00CB1ECD">
          <w:rPr>
            <w:noProof/>
            <w:webHidden/>
          </w:rPr>
          <w:fldChar w:fldCharType="separate"/>
        </w:r>
        <w:r w:rsidR="001B37BA">
          <w:rPr>
            <w:noProof/>
            <w:webHidden/>
          </w:rPr>
          <w:t>4</w:t>
        </w:r>
        <w:r w:rsidR="00CB1ECD">
          <w:rPr>
            <w:noProof/>
            <w:webHidden/>
          </w:rPr>
          <w:fldChar w:fldCharType="end"/>
        </w:r>
      </w:hyperlink>
    </w:p>
    <w:p w14:paraId="78FF5613" w14:textId="5F35EF2D" w:rsidR="00CB1ECD" w:rsidRDefault="00AC1A4F">
      <w:pPr>
        <w:pStyle w:val="TOC4"/>
        <w:rPr>
          <w:rFonts w:asciiTheme="minorHAnsi" w:eastAsiaTheme="minorEastAsia" w:hAnsiTheme="minorHAnsi" w:cstheme="minorBidi"/>
          <w:color w:val="auto"/>
          <w:spacing w:val="0"/>
          <w:sz w:val="22"/>
          <w:szCs w:val="22"/>
          <w:lang w:eastAsia="en-AU"/>
        </w:rPr>
      </w:pPr>
      <w:hyperlink w:anchor="_Toc523318797" w:history="1">
        <w:r w:rsidR="00CB1ECD" w:rsidRPr="00E02256">
          <w:rPr>
            <w:rStyle w:val="Hyperlink"/>
          </w:rPr>
          <w:t>2.1.1</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Context</w:t>
        </w:r>
        <w:r w:rsidR="00CB1ECD">
          <w:rPr>
            <w:webHidden/>
          </w:rPr>
          <w:tab/>
        </w:r>
        <w:r w:rsidR="00CB1ECD">
          <w:rPr>
            <w:webHidden/>
          </w:rPr>
          <w:fldChar w:fldCharType="begin"/>
        </w:r>
        <w:r w:rsidR="00CB1ECD">
          <w:rPr>
            <w:webHidden/>
          </w:rPr>
          <w:instrText xml:space="preserve"> PAGEREF _Toc523318797 \h </w:instrText>
        </w:r>
        <w:r w:rsidR="00CB1ECD">
          <w:rPr>
            <w:webHidden/>
          </w:rPr>
        </w:r>
        <w:r w:rsidR="00CB1ECD">
          <w:rPr>
            <w:webHidden/>
          </w:rPr>
          <w:fldChar w:fldCharType="separate"/>
        </w:r>
        <w:r w:rsidR="001B37BA">
          <w:rPr>
            <w:webHidden/>
          </w:rPr>
          <w:t>4</w:t>
        </w:r>
        <w:r w:rsidR="00CB1ECD">
          <w:rPr>
            <w:webHidden/>
          </w:rPr>
          <w:fldChar w:fldCharType="end"/>
        </w:r>
      </w:hyperlink>
    </w:p>
    <w:p w14:paraId="76961920" w14:textId="20BB8624" w:rsidR="00CB1ECD" w:rsidRDefault="00AC1A4F">
      <w:pPr>
        <w:pStyle w:val="TOC4"/>
        <w:rPr>
          <w:rFonts w:asciiTheme="minorHAnsi" w:eastAsiaTheme="minorEastAsia" w:hAnsiTheme="minorHAnsi" w:cstheme="minorBidi"/>
          <w:color w:val="auto"/>
          <w:spacing w:val="0"/>
          <w:sz w:val="22"/>
          <w:szCs w:val="22"/>
          <w:lang w:eastAsia="en-AU"/>
        </w:rPr>
      </w:pPr>
      <w:hyperlink w:anchor="_Toc523318798" w:history="1">
        <w:r w:rsidR="00CB1ECD" w:rsidRPr="00E02256">
          <w:rPr>
            <w:rStyle w:val="Hyperlink"/>
          </w:rPr>
          <w:t>2.1.2</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Evaluation findings</w:t>
        </w:r>
        <w:r w:rsidR="00CB1ECD">
          <w:rPr>
            <w:webHidden/>
          </w:rPr>
          <w:tab/>
        </w:r>
        <w:r w:rsidR="00CB1ECD">
          <w:rPr>
            <w:webHidden/>
          </w:rPr>
          <w:fldChar w:fldCharType="begin"/>
        </w:r>
        <w:r w:rsidR="00CB1ECD">
          <w:rPr>
            <w:webHidden/>
          </w:rPr>
          <w:instrText xml:space="preserve"> PAGEREF _Toc523318798 \h </w:instrText>
        </w:r>
        <w:r w:rsidR="00CB1ECD">
          <w:rPr>
            <w:webHidden/>
          </w:rPr>
        </w:r>
        <w:r w:rsidR="00CB1ECD">
          <w:rPr>
            <w:webHidden/>
          </w:rPr>
          <w:fldChar w:fldCharType="separate"/>
        </w:r>
        <w:r w:rsidR="001B37BA">
          <w:rPr>
            <w:webHidden/>
          </w:rPr>
          <w:t>4</w:t>
        </w:r>
        <w:r w:rsidR="00CB1ECD">
          <w:rPr>
            <w:webHidden/>
          </w:rPr>
          <w:fldChar w:fldCharType="end"/>
        </w:r>
      </w:hyperlink>
    </w:p>
    <w:p w14:paraId="774ED523" w14:textId="6988D639" w:rsidR="00CB1ECD" w:rsidRDefault="00AC1A4F">
      <w:pPr>
        <w:pStyle w:val="TOC3"/>
        <w:rPr>
          <w:rFonts w:asciiTheme="minorHAnsi" w:eastAsiaTheme="minorEastAsia" w:hAnsiTheme="minorHAnsi" w:cstheme="minorBidi"/>
          <w:caps w:val="0"/>
          <w:noProof/>
          <w:color w:val="auto"/>
          <w:sz w:val="22"/>
          <w:szCs w:val="22"/>
          <w:lang w:eastAsia="en-AU"/>
        </w:rPr>
      </w:pPr>
      <w:hyperlink w:anchor="_Toc523318799" w:history="1">
        <w:r w:rsidR="00CB1ECD" w:rsidRPr="00E02256">
          <w:rPr>
            <w:rStyle w:val="Hyperlink"/>
            <w:noProof/>
          </w:rPr>
          <w:t>2.2</w:t>
        </w:r>
        <w:r w:rsidR="00CB1ECD">
          <w:rPr>
            <w:rFonts w:asciiTheme="minorHAnsi" w:eastAsiaTheme="minorEastAsia" w:hAnsiTheme="minorHAnsi" w:cstheme="minorBidi"/>
            <w:caps w:val="0"/>
            <w:noProof/>
            <w:color w:val="auto"/>
            <w:sz w:val="22"/>
            <w:szCs w:val="22"/>
            <w:lang w:eastAsia="en-AU"/>
          </w:rPr>
          <w:tab/>
        </w:r>
        <w:r w:rsidR="00CB1ECD" w:rsidRPr="00E02256">
          <w:rPr>
            <w:rStyle w:val="Hyperlink"/>
            <w:noProof/>
          </w:rPr>
          <w:t>Rural Pharmacy Scholarship Mentor Scheme</w:t>
        </w:r>
        <w:r w:rsidR="00CB1ECD">
          <w:rPr>
            <w:noProof/>
            <w:webHidden/>
          </w:rPr>
          <w:tab/>
        </w:r>
        <w:r w:rsidR="00CB1ECD">
          <w:rPr>
            <w:noProof/>
            <w:webHidden/>
          </w:rPr>
          <w:fldChar w:fldCharType="begin"/>
        </w:r>
        <w:r w:rsidR="00CB1ECD">
          <w:rPr>
            <w:noProof/>
            <w:webHidden/>
          </w:rPr>
          <w:instrText xml:space="preserve"> PAGEREF _Toc523318799 \h </w:instrText>
        </w:r>
        <w:r w:rsidR="00CB1ECD">
          <w:rPr>
            <w:noProof/>
            <w:webHidden/>
          </w:rPr>
        </w:r>
        <w:r w:rsidR="00CB1ECD">
          <w:rPr>
            <w:noProof/>
            <w:webHidden/>
          </w:rPr>
          <w:fldChar w:fldCharType="separate"/>
        </w:r>
        <w:r w:rsidR="001B37BA">
          <w:rPr>
            <w:noProof/>
            <w:webHidden/>
          </w:rPr>
          <w:t>7</w:t>
        </w:r>
        <w:r w:rsidR="00CB1ECD">
          <w:rPr>
            <w:noProof/>
            <w:webHidden/>
          </w:rPr>
          <w:fldChar w:fldCharType="end"/>
        </w:r>
      </w:hyperlink>
    </w:p>
    <w:p w14:paraId="26538AF0" w14:textId="7B6B58FB" w:rsidR="00CB1ECD" w:rsidRDefault="00AC1A4F">
      <w:pPr>
        <w:pStyle w:val="TOC4"/>
        <w:rPr>
          <w:rFonts w:asciiTheme="minorHAnsi" w:eastAsiaTheme="minorEastAsia" w:hAnsiTheme="minorHAnsi" w:cstheme="minorBidi"/>
          <w:color w:val="auto"/>
          <w:spacing w:val="0"/>
          <w:sz w:val="22"/>
          <w:szCs w:val="22"/>
          <w:lang w:eastAsia="en-AU"/>
        </w:rPr>
      </w:pPr>
      <w:hyperlink w:anchor="_Toc523318800" w:history="1">
        <w:r w:rsidR="00CB1ECD" w:rsidRPr="00E02256">
          <w:rPr>
            <w:rStyle w:val="Hyperlink"/>
          </w:rPr>
          <w:t>2.2.1</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Context</w:t>
        </w:r>
        <w:r w:rsidR="00CB1ECD">
          <w:rPr>
            <w:webHidden/>
          </w:rPr>
          <w:tab/>
        </w:r>
        <w:r w:rsidR="00CB1ECD">
          <w:rPr>
            <w:webHidden/>
          </w:rPr>
          <w:fldChar w:fldCharType="begin"/>
        </w:r>
        <w:r w:rsidR="00CB1ECD">
          <w:rPr>
            <w:webHidden/>
          </w:rPr>
          <w:instrText xml:space="preserve"> PAGEREF _Toc523318800 \h </w:instrText>
        </w:r>
        <w:r w:rsidR="00CB1ECD">
          <w:rPr>
            <w:webHidden/>
          </w:rPr>
        </w:r>
        <w:r w:rsidR="00CB1ECD">
          <w:rPr>
            <w:webHidden/>
          </w:rPr>
          <w:fldChar w:fldCharType="separate"/>
        </w:r>
        <w:r w:rsidR="001B37BA">
          <w:rPr>
            <w:webHidden/>
          </w:rPr>
          <w:t>7</w:t>
        </w:r>
        <w:r w:rsidR="00CB1ECD">
          <w:rPr>
            <w:webHidden/>
          </w:rPr>
          <w:fldChar w:fldCharType="end"/>
        </w:r>
      </w:hyperlink>
    </w:p>
    <w:p w14:paraId="6E05F054" w14:textId="32C82249" w:rsidR="00CB1ECD" w:rsidRDefault="00AC1A4F">
      <w:pPr>
        <w:pStyle w:val="TOC4"/>
        <w:rPr>
          <w:rFonts w:asciiTheme="minorHAnsi" w:eastAsiaTheme="minorEastAsia" w:hAnsiTheme="minorHAnsi" w:cstheme="minorBidi"/>
          <w:color w:val="auto"/>
          <w:spacing w:val="0"/>
          <w:sz w:val="22"/>
          <w:szCs w:val="22"/>
          <w:lang w:eastAsia="en-AU"/>
        </w:rPr>
      </w:pPr>
      <w:hyperlink w:anchor="_Toc523318801" w:history="1">
        <w:r w:rsidR="00CB1ECD" w:rsidRPr="00E02256">
          <w:rPr>
            <w:rStyle w:val="Hyperlink"/>
          </w:rPr>
          <w:t>2.2.2</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Evaluation findings</w:t>
        </w:r>
        <w:r w:rsidR="00CB1ECD">
          <w:rPr>
            <w:webHidden/>
          </w:rPr>
          <w:tab/>
        </w:r>
        <w:r w:rsidR="00CB1ECD">
          <w:rPr>
            <w:webHidden/>
          </w:rPr>
          <w:fldChar w:fldCharType="begin"/>
        </w:r>
        <w:r w:rsidR="00CB1ECD">
          <w:rPr>
            <w:webHidden/>
          </w:rPr>
          <w:instrText xml:space="preserve"> PAGEREF _Toc523318801 \h </w:instrText>
        </w:r>
        <w:r w:rsidR="00CB1ECD">
          <w:rPr>
            <w:webHidden/>
          </w:rPr>
        </w:r>
        <w:r w:rsidR="00CB1ECD">
          <w:rPr>
            <w:webHidden/>
          </w:rPr>
          <w:fldChar w:fldCharType="separate"/>
        </w:r>
        <w:r w:rsidR="001B37BA">
          <w:rPr>
            <w:webHidden/>
          </w:rPr>
          <w:t>8</w:t>
        </w:r>
        <w:r w:rsidR="00CB1ECD">
          <w:rPr>
            <w:webHidden/>
          </w:rPr>
          <w:fldChar w:fldCharType="end"/>
        </w:r>
      </w:hyperlink>
    </w:p>
    <w:p w14:paraId="74E1A9DE" w14:textId="4B8E9321" w:rsidR="00CB1ECD" w:rsidRDefault="00AC1A4F">
      <w:pPr>
        <w:pStyle w:val="TOC3"/>
        <w:rPr>
          <w:rFonts w:asciiTheme="minorHAnsi" w:eastAsiaTheme="minorEastAsia" w:hAnsiTheme="minorHAnsi" w:cstheme="minorBidi"/>
          <w:caps w:val="0"/>
          <w:noProof/>
          <w:color w:val="auto"/>
          <w:sz w:val="22"/>
          <w:szCs w:val="22"/>
          <w:lang w:eastAsia="en-AU"/>
        </w:rPr>
      </w:pPr>
      <w:hyperlink w:anchor="_Toc523318802" w:history="1">
        <w:r w:rsidR="00CB1ECD" w:rsidRPr="00E02256">
          <w:rPr>
            <w:rStyle w:val="Hyperlink"/>
            <w:noProof/>
          </w:rPr>
          <w:t>2.3</w:t>
        </w:r>
        <w:r w:rsidR="00CB1ECD">
          <w:rPr>
            <w:rFonts w:asciiTheme="minorHAnsi" w:eastAsiaTheme="minorEastAsia" w:hAnsiTheme="minorHAnsi" w:cstheme="minorBidi"/>
            <w:caps w:val="0"/>
            <w:noProof/>
            <w:color w:val="auto"/>
            <w:sz w:val="22"/>
            <w:szCs w:val="22"/>
            <w:lang w:eastAsia="en-AU"/>
          </w:rPr>
          <w:tab/>
        </w:r>
        <w:r w:rsidR="00CB1ECD" w:rsidRPr="00E02256">
          <w:rPr>
            <w:rStyle w:val="Hyperlink"/>
            <w:noProof/>
          </w:rPr>
          <w:t>Rural Intern Training Allowance</w:t>
        </w:r>
        <w:r w:rsidR="00CB1ECD">
          <w:rPr>
            <w:noProof/>
            <w:webHidden/>
          </w:rPr>
          <w:tab/>
        </w:r>
        <w:r w:rsidR="00CB1ECD">
          <w:rPr>
            <w:noProof/>
            <w:webHidden/>
          </w:rPr>
          <w:fldChar w:fldCharType="begin"/>
        </w:r>
        <w:r w:rsidR="00CB1ECD">
          <w:rPr>
            <w:noProof/>
            <w:webHidden/>
          </w:rPr>
          <w:instrText xml:space="preserve"> PAGEREF _Toc523318802 \h </w:instrText>
        </w:r>
        <w:r w:rsidR="00CB1ECD">
          <w:rPr>
            <w:noProof/>
            <w:webHidden/>
          </w:rPr>
        </w:r>
        <w:r w:rsidR="00CB1ECD">
          <w:rPr>
            <w:noProof/>
            <w:webHidden/>
          </w:rPr>
          <w:fldChar w:fldCharType="separate"/>
        </w:r>
        <w:r w:rsidR="001B37BA">
          <w:rPr>
            <w:noProof/>
            <w:webHidden/>
          </w:rPr>
          <w:t>9</w:t>
        </w:r>
        <w:r w:rsidR="00CB1ECD">
          <w:rPr>
            <w:noProof/>
            <w:webHidden/>
          </w:rPr>
          <w:fldChar w:fldCharType="end"/>
        </w:r>
      </w:hyperlink>
    </w:p>
    <w:p w14:paraId="103EA476" w14:textId="2BE56456" w:rsidR="00CB1ECD" w:rsidRDefault="00AC1A4F">
      <w:pPr>
        <w:pStyle w:val="TOC4"/>
        <w:rPr>
          <w:rFonts w:asciiTheme="minorHAnsi" w:eastAsiaTheme="minorEastAsia" w:hAnsiTheme="minorHAnsi" w:cstheme="minorBidi"/>
          <w:color w:val="auto"/>
          <w:spacing w:val="0"/>
          <w:sz w:val="22"/>
          <w:szCs w:val="22"/>
          <w:lang w:eastAsia="en-AU"/>
        </w:rPr>
      </w:pPr>
      <w:hyperlink w:anchor="_Toc523318803" w:history="1">
        <w:r w:rsidR="00CB1ECD" w:rsidRPr="00E02256">
          <w:rPr>
            <w:rStyle w:val="Hyperlink"/>
          </w:rPr>
          <w:t>2.3.1</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Context</w:t>
        </w:r>
        <w:r w:rsidR="00CB1ECD">
          <w:rPr>
            <w:webHidden/>
          </w:rPr>
          <w:tab/>
        </w:r>
        <w:r w:rsidR="00CB1ECD">
          <w:rPr>
            <w:webHidden/>
          </w:rPr>
          <w:fldChar w:fldCharType="begin"/>
        </w:r>
        <w:r w:rsidR="00CB1ECD">
          <w:rPr>
            <w:webHidden/>
          </w:rPr>
          <w:instrText xml:space="preserve"> PAGEREF _Toc523318803 \h </w:instrText>
        </w:r>
        <w:r w:rsidR="00CB1ECD">
          <w:rPr>
            <w:webHidden/>
          </w:rPr>
        </w:r>
        <w:r w:rsidR="00CB1ECD">
          <w:rPr>
            <w:webHidden/>
          </w:rPr>
          <w:fldChar w:fldCharType="separate"/>
        </w:r>
        <w:r w:rsidR="001B37BA">
          <w:rPr>
            <w:webHidden/>
          </w:rPr>
          <w:t>9</w:t>
        </w:r>
        <w:r w:rsidR="00CB1ECD">
          <w:rPr>
            <w:webHidden/>
          </w:rPr>
          <w:fldChar w:fldCharType="end"/>
        </w:r>
      </w:hyperlink>
    </w:p>
    <w:p w14:paraId="4E37EB41" w14:textId="40ABE14F" w:rsidR="00CB1ECD" w:rsidRDefault="00AC1A4F">
      <w:pPr>
        <w:pStyle w:val="TOC4"/>
        <w:rPr>
          <w:rFonts w:asciiTheme="minorHAnsi" w:eastAsiaTheme="minorEastAsia" w:hAnsiTheme="minorHAnsi" w:cstheme="minorBidi"/>
          <w:color w:val="auto"/>
          <w:spacing w:val="0"/>
          <w:sz w:val="22"/>
          <w:szCs w:val="22"/>
          <w:lang w:eastAsia="en-AU"/>
        </w:rPr>
      </w:pPr>
      <w:hyperlink w:anchor="_Toc523318804" w:history="1">
        <w:r w:rsidR="00CB1ECD" w:rsidRPr="00E02256">
          <w:rPr>
            <w:rStyle w:val="Hyperlink"/>
          </w:rPr>
          <w:t>2.3.2</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Evaluation findings</w:t>
        </w:r>
        <w:r w:rsidR="00CB1ECD">
          <w:rPr>
            <w:webHidden/>
          </w:rPr>
          <w:tab/>
        </w:r>
        <w:r w:rsidR="00CB1ECD">
          <w:rPr>
            <w:webHidden/>
          </w:rPr>
          <w:fldChar w:fldCharType="begin"/>
        </w:r>
        <w:r w:rsidR="00CB1ECD">
          <w:rPr>
            <w:webHidden/>
          </w:rPr>
          <w:instrText xml:space="preserve"> PAGEREF _Toc523318804 \h </w:instrText>
        </w:r>
        <w:r w:rsidR="00CB1ECD">
          <w:rPr>
            <w:webHidden/>
          </w:rPr>
        </w:r>
        <w:r w:rsidR="00CB1ECD">
          <w:rPr>
            <w:webHidden/>
          </w:rPr>
          <w:fldChar w:fldCharType="separate"/>
        </w:r>
        <w:r w:rsidR="001B37BA">
          <w:rPr>
            <w:webHidden/>
          </w:rPr>
          <w:t>11</w:t>
        </w:r>
        <w:r w:rsidR="00CB1ECD">
          <w:rPr>
            <w:webHidden/>
          </w:rPr>
          <w:fldChar w:fldCharType="end"/>
        </w:r>
      </w:hyperlink>
    </w:p>
    <w:p w14:paraId="5248F2C8" w14:textId="637CF4EF" w:rsidR="00CB1ECD" w:rsidRDefault="00AC1A4F">
      <w:pPr>
        <w:pStyle w:val="TOC3"/>
        <w:rPr>
          <w:rFonts w:asciiTheme="minorHAnsi" w:eastAsiaTheme="minorEastAsia" w:hAnsiTheme="minorHAnsi" w:cstheme="minorBidi"/>
          <w:caps w:val="0"/>
          <w:noProof/>
          <w:color w:val="auto"/>
          <w:sz w:val="22"/>
          <w:szCs w:val="22"/>
          <w:lang w:eastAsia="en-AU"/>
        </w:rPr>
      </w:pPr>
      <w:hyperlink w:anchor="_Toc523318805" w:history="1">
        <w:r w:rsidR="00CB1ECD" w:rsidRPr="00E02256">
          <w:rPr>
            <w:rStyle w:val="Hyperlink"/>
            <w:noProof/>
          </w:rPr>
          <w:t>2.4</w:t>
        </w:r>
        <w:r w:rsidR="00CB1ECD">
          <w:rPr>
            <w:rFonts w:asciiTheme="minorHAnsi" w:eastAsiaTheme="minorEastAsia" w:hAnsiTheme="minorHAnsi" w:cstheme="minorBidi"/>
            <w:caps w:val="0"/>
            <w:noProof/>
            <w:color w:val="auto"/>
            <w:sz w:val="22"/>
            <w:szCs w:val="22"/>
            <w:lang w:eastAsia="en-AU"/>
          </w:rPr>
          <w:tab/>
        </w:r>
        <w:r w:rsidR="00CB1ECD" w:rsidRPr="00E02256">
          <w:rPr>
            <w:rStyle w:val="Hyperlink"/>
            <w:noProof/>
          </w:rPr>
          <w:t>Rural Pharmacy Student Placement Allowance</w:t>
        </w:r>
        <w:r w:rsidR="00CB1ECD">
          <w:rPr>
            <w:noProof/>
            <w:webHidden/>
          </w:rPr>
          <w:tab/>
        </w:r>
        <w:r w:rsidR="00CB1ECD">
          <w:rPr>
            <w:noProof/>
            <w:webHidden/>
          </w:rPr>
          <w:fldChar w:fldCharType="begin"/>
        </w:r>
        <w:r w:rsidR="00CB1ECD">
          <w:rPr>
            <w:noProof/>
            <w:webHidden/>
          </w:rPr>
          <w:instrText xml:space="preserve"> PAGEREF _Toc523318805 \h </w:instrText>
        </w:r>
        <w:r w:rsidR="00CB1ECD">
          <w:rPr>
            <w:noProof/>
            <w:webHidden/>
          </w:rPr>
        </w:r>
        <w:r w:rsidR="00CB1ECD">
          <w:rPr>
            <w:noProof/>
            <w:webHidden/>
          </w:rPr>
          <w:fldChar w:fldCharType="separate"/>
        </w:r>
        <w:r w:rsidR="001B37BA">
          <w:rPr>
            <w:noProof/>
            <w:webHidden/>
          </w:rPr>
          <w:t>13</w:t>
        </w:r>
        <w:r w:rsidR="00CB1ECD">
          <w:rPr>
            <w:noProof/>
            <w:webHidden/>
          </w:rPr>
          <w:fldChar w:fldCharType="end"/>
        </w:r>
      </w:hyperlink>
    </w:p>
    <w:p w14:paraId="5396B826" w14:textId="0EFAA4E9" w:rsidR="00CB1ECD" w:rsidRDefault="00AC1A4F">
      <w:pPr>
        <w:pStyle w:val="TOC4"/>
        <w:rPr>
          <w:rFonts w:asciiTheme="minorHAnsi" w:eastAsiaTheme="minorEastAsia" w:hAnsiTheme="minorHAnsi" w:cstheme="minorBidi"/>
          <w:color w:val="auto"/>
          <w:spacing w:val="0"/>
          <w:sz w:val="22"/>
          <w:szCs w:val="22"/>
          <w:lang w:eastAsia="en-AU"/>
        </w:rPr>
      </w:pPr>
      <w:hyperlink w:anchor="_Toc523318806" w:history="1">
        <w:r w:rsidR="00CB1ECD" w:rsidRPr="00E02256">
          <w:rPr>
            <w:rStyle w:val="Hyperlink"/>
          </w:rPr>
          <w:t>2.4.1</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Context</w:t>
        </w:r>
        <w:r w:rsidR="00CB1ECD">
          <w:rPr>
            <w:webHidden/>
          </w:rPr>
          <w:tab/>
        </w:r>
        <w:r w:rsidR="00CB1ECD">
          <w:rPr>
            <w:webHidden/>
          </w:rPr>
          <w:fldChar w:fldCharType="begin"/>
        </w:r>
        <w:r w:rsidR="00CB1ECD">
          <w:rPr>
            <w:webHidden/>
          </w:rPr>
          <w:instrText xml:space="preserve"> PAGEREF _Toc523318806 \h </w:instrText>
        </w:r>
        <w:r w:rsidR="00CB1ECD">
          <w:rPr>
            <w:webHidden/>
          </w:rPr>
        </w:r>
        <w:r w:rsidR="00CB1ECD">
          <w:rPr>
            <w:webHidden/>
          </w:rPr>
          <w:fldChar w:fldCharType="separate"/>
        </w:r>
        <w:r w:rsidR="001B37BA">
          <w:rPr>
            <w:webHidden/>
          </w:rPr>
          <w:t>13</w:t>
        </w:r>
        <w:r w:rsidR="00CB1ECD">
          <w:rPr>
            <w:webHidden/>
          </w:rPr>
          <w:fldChar w:fldCharType="end"/>
        </w:r>
      </w:hyperlink>
    </w:p>
    <w:p w14:paraId="58236D4F" w14:textId="6E0239E7" w:rsidR="00CB1ECD" w:rsidRDefault="00AC1A4F">
      <w:pPr>
        <w:pStyle w:val="TOC4"/>
        <w:rPr>
          <w:rFonts w:asciiTheme="minorHAnsi" w:eastAsiaTheme="minorEastAsia" w:hAnsiTheme="minorHAnsi" w:cstheme="minorBidi"/>
          <w:color w:val="auto"/>
          <w:spacing w:val="0"/>
          <w:sz w:val="22"/>
          <w:szCs w:val="22"/>
          <w:lang w:eastAsia="en-AU"/>
        </w:rPr>
      </w:pPr>
      <w:hyperlink w:anchor="_Toc523318807" w:history="1">
        <w:r w:rsidR="00CB1ECD" w:rsidRPr="00E02256">
          <w:rPr>
            <w:rStyle w:val="Hyperlink"/>
          </w:rPr>
          <w:t>2.4.2</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Evaluation findings</w:t>
        </w:r>
        <w:r w:rsidR="00CB1ECD">
          <w:rPr>
            <w:webHidden/>
          </w:rPr>
          <w:tab/>
        </w:r>
        <w:r w:rsidR="00CB1ECD">
          <w:rPr>
            <w:webHidden/>
          </w:rPr>
          <w:fldChar w:fldCharType="begin"/>
        </w:r>
        <w:r w:rsidR="00CB1ECD">
          <w:rPr>
            <w:webHidden/>
          </w:rPr>
          <w:instrText xml:space="preserve"> PAGEREF _Toc523318807 \h </w:instrText>
        </w:r>
        <w:r w:rsidR="00CB1ECD">
          <w:rPr>
            <w:webHidden/>
          </w:rPr>
        </w:r>
        <w:r w:rsidR="00CB1ECD">
          <w:rPr>
            <w:webHidden/>
          </w:rPr>
          <w:fldChar w:fldCharType="separate"/>
        </w:r>
        <w:r w:rsidR="001B37BA">
          <w:rPr>
            <w:webHidden/>
          </w:rPr>
          <w:t>14</w:t>
        </w:r>
        <w:r w:rsidR="00CB1ECD">
          <w:rPr>
            <w:webHidden/>
          </w:rPr>
          <w:fldChar w:fldCharType="end"/>
        </w:r>
      </w:hyperlink>
    </w:p>
    <w:p w14:paraId="622551EE" w14:textId="26B7FC98" w:rsidR="00CB1ECD" w:rsidRDefault="00AC1A4F">
      <w:pPr>
        <w:pStyle w:val="TOC2"/>
        <w:rPr>
          <w:rFonts w:asciiTheme="minorHAnsi" w:eastAsiaTheme="minorEastAsia" w:hAnsiTheme="minorHAnsi" w:cstheme="minorBidi"/>
          <w:caps w:val="0"/>
          <w:noProof/>
          <w:color w:val="auto"/>
          <w:spacing w:val="0"/>
          <w:sz w:val="22"/>
          <w:szCs w:val="22"/>
          <w:u w:val="none"/>
          <w:lang w:eastAsia="en-AU"/>
        </w:rPr>
      </w:pPr>
      <w:hyperlink w:anchor="_Toc523318808" w:history="1">
        <w:r w:rsidR="00CB1ECD" w:rsidRPr="00E02256">
          <w:rPr>
            <w:rStyle w:val="Hyperlink"/>
            <w:noProof/>
          </w:rPr>
          <w:t>3</w:t>
        </w:r>
        <w:r w:rsidR="00CB1ECD">
          <w:rPr>
            <w:rFonts w:asciiTheme="minorHAnsi" w:eastAsiaTheme="minorEastAsia" w:hAnsiTheme="minorHAnsi" w:cstheme="minorBidi"/>
            <w:caps w:val="0"/>
            <w:noProof/>
            <w:color w:val="auto"/>
            <w:spacing w:val="0"/>
            <w:sz w:val="22"/>
            <w:szCs w:val="22"/>
            <w:u w:val="none"/>
            <w:lang w:eastAsia="en-AU"/>
          </w:rPr>
          <w:tab/>
        </w:r>
        <w:r w:rsidR="00CB1ECD" w:rsidRPr="00E02256">
          <w:rPr>
            <w:rStyle w:val="Hyperlink"/>
            <w:noProof/>
          </w:rPr>
          <w:t>Workforce retention programs</w:t>
        </w:r>
        <w:r w:rsidR="00CB1ECD">
          <w:rPr>
            <w:noProof/>
            <w:webHidden/>
          </w:rPr>
          <w:tab/>
        </w:r>
        <w:r w:rsidR="00CB1ECD">
          <w:rPr>
            <w:noProof/>
            <w:webHidden/>
          </w:rPr>
          <w:fldChar w:fldCharType="begin"/>
        </w:r>
        <w:r w:rsidR="00CB1ECD">
          <w:rPr>
            <w:noProof/>
            <w:webHidden/>
          </w:rPr>
          <w:instrText xml:space="preserve"> PAGEREF _Toc523318808 \h </w:instrText>
        </w:r>
        <w:r w:rsidR="00CB1ECD">
          <w:rPr>
            <w:noProof/>
            <w:webHidden/>
          </w:rPr>
        </w:r>
        <w:r w:rsidR="00CB1ECD">
          <w:rPr>
            <w:noProof/>
            <w:webHidden/>
          </w:rPr>
          <w:fldChar w:fldCharType="separate"/>
        </w:r>
        <w:r w:rsidR="001B37BA">
          <w:rPr>
            <w:noProof/>
            <w:webHidden/>
          </w:rPr>
          <w:t>17</w:t>
        </w:r>
        <w:r w:rsidR="00CB1ECD">
          <w:rPr>
            <w:noProof/>
            <w:webHidden/>
          </w:rPr>
          <w:fldChar w:fldCharType="end"/>
        </w:r>
      </w:hyperlink>
    </w:p>
    <w:p w14:paraId="4CC4F652" w14:textId="5784AA8E" w:rsidR="00CB1ECD" w:rsidRDefault="00AC1A4F">
      <w:pPr>
        <w:pStyle w:val="TOC3"/>
        <w:rPr>
          <w:rFonts w:asciiTheme="minorHAnsi" w:eastAsiaTheme="minorEastAsia" w:hAnsiTheme="minorHAnsi" w:cstheme="minorBidi"/>
          <w:caps w:val="0"/>
          <w:noProof/>
          <w:color w:val="auto"/>
          <w:sz w:val="22"/>
          <w:szCs w:val="22"/>
          <w:lang w:eastAsia="en-AU"/>
        </w:rPr>
      </w:pPr>
      <w:hyperlink w:anchor="_Toc523318809" w:history="1">
        <w:r w:rsidR="00CB1ECD" w:rsidRPr="00E02256">
          <w:rPr>
            <w:rStyle w:val="Hyperlink"/>
            <w:noProof/>
          </w:rPr>
          <w:t>3.1</w:t>
        </w:r>
        <w:r w:rsidR="00CB1ECD">
          <w:rPr>
            <w:rFonts w:asciiTheme="minorHAnsi" w:eastAsiaTheme="minorEastAsia" w:hAnsiTheme="minorHAnsi" w:cstheme="minorBidi"/>
            <w:caps w:val="0"/>
            <w:noProof/>
            <w:color w:val="auto"/>
            <w:sz w:val="22"/>
            <w:szCs w:val="22"/>
            <w:lang w:eastAsia="en-AU"/>
          </w:rPr>
          <w:tab/>
        </w:r>
        <w:r w:rsidR="00CB1ECD" w:rsidRPr="00E02256">
          <w:rPr>
            <w:rStyle w:val="Hyperlink"/>
            <w:noProof/>
          </w:rPr>
          <w:t>Continuing Professional Education Allowance</w:t>
        </w:r>
        <w:r w:rsidR="00CB1ECD">
          <w:rPr>
            <w:noProof/>
            <w:webHidden/>
          </w:rPr>
          <w:tab/>
        </w:r>
        <w:r w:rsidR="00CB1ECD">
          <w:rPr>
            <w:noProof/>
            <w:webHidden/>
          </w:rPr>
          <w:fldChar w:fldCharType="begin"/>
        </w:r>
        <w:r w:rsidR="00CB1ECD">
          <w:rPr>
            <w:noProof/>
            <w:webHidden/>
          </w:rPr>
          <w:instrText xml:space="preserve"> PAGEREF _Toc523318809 \h </w:instrText>
        </w:r>
        <w:r w:rsidR="00CB1ECD">
          <w:rPr>
            <w:noProof/>
            <w:webHidden/>
          </w:rPr>
        </w:r>
        <w:r w:rsidR="00CB1ECD">
          <w:rPr>
            <w:noProof/>
            <w:webHidden/>
          </w:rPr>
          <w:fldChar w:fldCharType="separate"/>
        </w:r>
        <w:r w:rsidR="001B37BA">
          <w:rPr>
            <w:noProof/>
            <w:webHidden/>
          </w:rPr>
          <w:t>17</w:t>
        </w:r>
        <w:r w:rsidR="00CB1ECD">
          <w:rPr>
            <w:noProof/>
            <w:webHidden/>
          </w:rPr>
          <w:fldChar w:fldCharType="end"/>
        </w:r>
      </w:hyperlink>
    </w:p>
    <w:p w14:paraId="3B2A7FFB" w14:textId="483CFCD6" w:rsidR="00CB1ECD" w:rsidRDefault="00AC1A4F">
      <w:pPr>
        <w:pStyle w:val="TOC4"/>
        <w:rPr>
          <w:rFonts w:asciiTheme="minorHAnsi" w:eastAsiaTheme="minorEastAsia" w:hAnsiTheme="minorHAnsi" w:cstheme="minorBidi"/>
          <w:color w:val="auto"/>
          <w:spacing w:val="0"/>
          <w:sz w:val="22"/>
          <w:szCs w:val="22"/>
          <w:lang w:eastAsia="en-AU"/>
        </w:rPr>
      </w:pPr>
      <w:hyperlink w:anchor="_Toc523318810" w:history="1">
        <w:r w:rsidR="00CB1ECD" w:rsidRPr="00E02256">
          <w:rPr>
            <w:rStyle w:val="Hyperlink"/>
          </w:rPr>
          <w:t>3.1.1</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Context</w:t>
        </w:r>
        <w:r w:rsidR="00CB1ECD">
          <w:rPr>
            <w:webHidden/>
          </w:rPr>
          <w:tab/>
        </w:r>
        <w:r w:rsidR="00CB1ECD">
          <w:rPr>
            <w:webHidden/>
          </w:rPr>
          <w:fldChar w:fldCharType="begin"/>
        </w:r>
        <w:r w:rsidR="00CB1ECD">
          <w:rPr>
            <w:webHidden/>
          </w:rPr>
          <w:instrText xml:space="preserve"> PAGEREF _Toc523318810 \h </w:instrText>
        </w:r>
        <w:r w:rsidR="00CB1ECD">
          <w:rPr>
            <w:webHidden/>
          </w:rPr>
        </w:r>
        <w:r w:rsidR="00CB1ECD">
          <w:rPr>
            <w:webHidden/>
          </w:rPr>
          <w:fldChar w:fldCharType="separate"/>
        </w:r>
        <w:r w:rsidR="001B37BA">
          <w:rPr>
            <w:webHidden/>
          </w:rPr>
          <w:t>17</w:t>
        </w:r>
        <w:r w:rsidR="00CB1ECD">
          <w:rPr>
            <w:webHidden/>
          </w:rPr>
          <w:fldChar w:fldCharType="end"/>
        </w:r>
      </w:hyperlink>
    </w:p>
    <w:p w14:paraId="687C9201" w14:textId="7CD28CAE" w:rsidR="00CB1ECD" w:rsidRDefault="00AC1A4F">
      <w:pPr>
        <w:pStyle w:val="TOC4"/>
        <w:rPr>
          <w:rFonts w:asciiTheme="minorHAnsi" w:eastAsiaTheme="minorEastAsia" w:hAnsiTheme="minorHAnsi" w:cstheme="minorBidi"/>
          <w:color w:val="auto"/>
          <w:spacing w:val="0"/>
          <w:sz w:val="22"/>
          <w:szCs w:val="22"/>
          <w:lang w:eastAsia="en-AU"/>
        </w:rPr>
      </w:pPr>
      <w:hyperlink w:anchor="_Toc523318811" w:history="1">
        <w:r w:rsidR="00CB1ECD" w:rsidRPr="00E02256">
          <w:rPr>
            <w:rStyle w:val="Hyperlink"/>
          </w:rPr>
          <w:t>3.1.2</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Evaluation findings</w:t>
        </w:r>
        <w:r w:rsidR="00CB1ECD">
          <w:rPr>
            <w:webHidden/>
          </w:rPr>
          <w:tab/>
        </w:r>
        <w:r w:rsidR="00CB1ECD">
          <w:rPr>
            <w:webHidden/>
          </w:rPr>
          <w:fldChar w:fldCharType="begin"/>
        </w:r>
        <w:r w:rsidR="00CB1ECD">
          <w:rPr>
            <w:webHidden/>
          </w:rPr>
          <w:instrText xml:space="preserve"> PAGEREF _Toc523318811 \h </w:instrText>
        </w:r>
        <w:r w:rsidR="00CB1ECD">
          <w:rPr>
            <w:webHidden/>
          </w:rPr>
        </w:r>
        <w:r w:rsidR="00CB1ECD">
          <w:rPr>
            <w:webHidden/>
          </w:rPr>
          <w:fldChar w:fldCharType="separate"/>
        </w:r>
        <w:r w:rsidR="001B37BA">
          <w:rPr>
            <w:webHidden/>
          </w:rPr>
          <w:t>17</w:t>
        </w:r>
        <w:r w:rsidR="00CB1ECD">
          <w:rPr>
            <w:webHidden/>
          </w:rPr>
          <w:fldChar w:fldCharType="end"/>
        </w:r>
      </w:hyperlink>
    </w:p>
    <w:p w14:paraId="0DFA17B1" w14:textId="4B43A20E" w:rsidR="00CB1ECD" w:rsidRDefault="00AC1A4F">
      <w:pPr>
        <w:pStyle w:val="TOC3"/>
        <w:rPr>
          <w:rFonts w:asciiTheme="minorHAnsi" w:eastAsiaTheme="minorEastAsia" w:hAnsiTheme="minorHAnsi" w:cstheme="minorBidi"/>
          <w:caps w:val="0"/>
          <w:noProof/>
          <w:color w:val="auto"/>
          <w:sz w:val="22"/>
          <w:szCs w:val="22"/>
          <w:lang w:eastAsia="en-AU"/>
        </w:rPr>
      </w:pPr>
      <w:hyperlink w:anchor="_Toc523318812" w:history="1">
        <w:r w:rsidR="00CB1ECD" w:rsidRPr="00E02256">
          <w:rPr>
            <w:rStyle w:val="Hyperlink"/>
            <w:noProof/>
          </w:rPr>
          <w:t>3.2</w:t>
        </w:r>
        <w:r w:rsidR="00CB1ECD">
          <w:rPr>
            <w:rFonts w:asciiTheme="minorHAnsi" w:eastAsiaTheme="minorEastAsia" w:hAnsiTheme="minorHAnsi" w:cstheme="minorBidi"/>
            <w:caps w:val="0"/>
            <w:noProof/>
            <w:color w:val="auto"/>
            <w:sz w:val="22"/>
            <w:szCs w:val="22"/>
            <w:lang w:eastAsia="en-AU"/>
          </w:rPr>
          <w:tab/>
        </w:r>
        <w:r w:rsidR="00CB1ECD" w:rsidRPr="00E02256">
          <w:rPr>
            <w:rStyle w:val="Hyperlink"/>
            <w:noProof/>
          </w:rPr>
          <w:t>Emergency Locum Service</w:t>
        </w:r>
        <w:r w:rsidR="00CB1ECD">
          <w:rPr>
            <w:noProof/>
            <w:webHidden/>
          </w:rPr>
          <w:tab/>
        </w:r>
        <w:r w:rsidR="00CB1ECD">
          <w:rPr>
            <w:noProof/>
            <w:webHidden/>
          </w:rPr>
          <w:fldChar w:fldCharType="begin"/>
        </w:r>
        <w:r w:rsidR="00CB1ECD">
          <w:rPr>
            <w:noProof/>
            <w:webHidden/>
          </w:rPr>
          <w:instrText xml:space="preserve"> PAGEREF _Toc523318812 \h </w:instrText>
        </w:r>
        <w:r w:rsidR="00CB1ECD">
          <w:rPr>
            <w:noProof/>
            <w:webHidden/>
          </w:rPr>
        </w:r>
        <w:r w:rsidR="00CB1ECD">
          <w:rPr>
            <w:noProof/>
            <w:webHidden/>
          </w:rPr>
          <w:fldChar w:fldCharType="separate"/>
        </w:r>
        <w:r w:rsidR="001B37BA">
          <w:rPr>
            <w:noProof/>
            <w:webHidden/>
          </w:rPr>
          <w:t>21</w:t>
        </w:r>
        <w:r w:rsidR="00CB1ECD">
          <w:rPr>
            <w:noProof/>
            <w:webHidden/>
          </w:rPr>
          <w:fldChar w:fldCharType="end"/>
        </w:r>
      </w:hyperlink>
    </w:p>
    <w:p w14:paraId="4E6BA749" w14:textId="1985C48C" w:rsidR="00CB1ECD" w:rsidRDefault="00AC1A4F">
      <w:pPr>
        <w:pStyle w:val="TOC4"/>
        <w:rPr>
          <w:rFonts w:asciiTheme="minorHAnsi" w:eastAsiaTheme="minorEastAsia" w:hAnsiTheme="minorHAnsi" w:cstheme="minorBidi"/>
          <w:color w:val="auto"/>
          <w:spacing w:val="0"/>
          <w:sz w:val="22"/>
          <w:szCs w:val="22"/>
          <w:lang w:eastAsia="en-AU"/>
        </w:rPr>
      </w:pPr>
      <w:hyperlink w:anchor="_Toc523318813" w:history="1">
        <w:r w:rsidR="00CB1ECD" w:rsidRPr="00E02256">
          <w:rPr>
            <w:rStyle w:val="Hyperlink"/>
          </w:rPr>
          <w:t>3.2.1</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Context</w:t>
        </w:r>
        <w:r w:rsidR="00CB1ECD">
          <w:rPr>
            <w:webHidden/>
          </w:rPr>
          <w:tab/>
        </w:r>
        <w:r w:rsidR="00CB1ECD">
          <w:rPr>
            <w:webHidden/>
          </w:rPr>
          <w:fldChar w:fldCharType="begin"/>
        </w:r>
        <w:r w:rsidR="00CB1ECD">
          <w:rPr>
            <w:webHidden/>
          </w:rPr>
          <w:instrText xml:space="preserve"> PAGEREF _Toc523318813 \h </w:instrText>
        </w:r>
        <w:r w:rsidR="00CB1ECD">
          <w:rPr>
            <w:webHidden/>
          </w:rPr>
        </w:r>
        <w:r w:rsidR="00CB1ECD">
          <w:rPr>
            <w:webHidden/>
          </w:rPr>
          <w:fldChar w:fldCharType="separate"/>
        </w:r>
        <w:r w:rsidR="001B37BA">
          <w:rPr>
            <w:webHidden/>
          </w:rPr>
          <w:t>21</w:t>
        </w:r>
        <w:r w:rsidR="00CB1ECD">
          <w:rPr>
            <w:webHidden/>
          </w:rPr>
          <w:fldChar w:fldCharType="end"/>
        </w:r>
      </w:hyperlink>
    </w:p>
    <w:p w14:paraId="12FD6806" w14:textId="0AE94D33" w:rsidR="00CB1ECD" w:rsidRDefault="00AC1A4F">
      <w:pPr>
        <w:pStyle w:val="TOC4"/>
        <w:rPr>
          <w:rFonts w:asciiTheme="minorHAnsi" w:eastAsiaTheme="minorEastAsia" w:hAnsiTheme="minorHAnsi" w:cstheme="minorBidi"/>
          <w:color w:val="auto"/>
          <w:spacing w:val="0"/>
          <w:sz w:val="22"/>
          <w:szCs w:val="22"/>
          <w:lang w:eastAsia="en-AU"/>
        </w:rPr>
      </w:pPr>
      <w:hyperlink w:anchor="_Toc523318814" w:history="1">
        <w:r w:rsidR="00CB1ECD" w:rsidRPr="00E02256">
          <w:rPr>
            <w:rStyle w:val="Hyperlink"/>
          </w:rPr>
          <w:t>3.2.2</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Evaluation findings</w:t>
        </w:r>
        <w:r w:rsidR="00CB1ECD">
          <w:rPr>
            <w:webHidden/>
          </w:rPr>
          <w:tab/>
        </w:r>
        <w:r w:rsidR="00CB1ECD">
          <w:rPr>
            <w:webHidden/>
          </w:rPr>
          <w:fldChar w:fldCharType="begin"/>
        </w:r>
        <w:r w:rsidR="00CB1ECD">
          <w:rPr>
            <w:webHidden/>
          </w:rPr>
          <w:instrText xml:space="preserve"> PAGEREF _Toc523318814 \h </w:instrText>
        </w:r>
        <w:r w:rsidR="00CB1ECD">
          <w:rPr>
            <w:webHidden/>
          </w:rPr>
        </w:r>
        <w:r w:rsidR="00CB1ECD">
          <w:rPr>
            <w:webHidden/>
          </w:rPr>
          <w:fldChar w:fldCharType="separate"/>
        </w:r>
        <w:r w:rsidR="001B37BA">
          <w:rPr>
            <w:webHidden/>
          </w:rPr>
          <w:t>22</w:t>
        </w:r>
        <w:r w:rsidR="00CB1ECD">
          <w:rPr>
            <w:webHidden/>
          </w:rPr>
          <w:fldChar w:fldCharType="end"/>
        </w:r>
      </w:hyperlink>
    </w:p>
    <w:p w14:paraId="1E8C731E" w14:textId="29BA8698" w:rsidR="00CB1ECD" w:rsidRDefault="00AC1A4F">
      <w:pPr>
        <w:pStyle w:val="TOC3"/>
        <w:rPr>
          <w:rFonts w:asciiTheme="minorHAnsi" w:eastAsiaTheme="minorEastAsia" w:hAnsiTheme="minorHAnsi" w:cstheme="minorBidi"/>
          <w:caps w:val="0"/>
          <w:noProof/>
          <w:color w:val="auto"/>
          <w:sz w:val="22"/>
          <w:szCs w:val="22"/>
          <w:lang w:eastAsia="en-AU"/>
        </w:rPr>
      </w:pPr>
      <w:hyperlink w:anchor="_Toc523318815" w:history="1">
        <w:r w:rsidR="00CB1ECD" w:rsidRPr="00E02256">
          <w:rPr>
            <w:rStyle w:val="Hyperlink"/>
            <w:noProof/>
          </w:rPr>
          <w:t>3.3</w:t>
        </w:r>
        <w:r w:rsidR="00CB1ECD">
          <w:rPr>
            <w:rFonts w:asciiTheme="minorHAnsi" w:eastAsiaTheme="minorEastAsia" w:hAnsiTheme="minorHAnsi" w:cstheme="minorBidi"/>
            <w:caps w:val="0"/>
            <w:noProof/>
            <w:color w:val="auto"/>
            <w:sz w:val="22"/>
            <w:szCs w:val="22"/>
            <w:lang w:eastAsia="en-AU"/>
          </w:rPr>
          <w:tab/>
        </w:r>
        <w:r w:rsidR="00CB1ECD" w:rsidRPr="00E02256">
          <w:rPr>
            <w:rStyle w:val="Hyperlink"/>
            <w:noProof/>
          </w:rPr>
          <w:t>Intern Incentive Allowance for Rural Pharmacies and Extension Program</w:t>
        </w:r>
        <w:r w:rsidR="00CB1ECD">
          <w:rPr>
            <w:noProof/>
            <w:webHidden/>
          </w:rPr>
          <w:tab/>
        </w:r>
        <w:r w:rsidR="00CB1ECD">
          <w:rPr>
            <w:noProof/>
            <w:webHidden/>
          </w:rPr>
          <w:fldChar w:fldCharType="begin"/>
        </w:r>
        <w:r w:rsidR="00CB1ECD">
          <w:rPr>
            <w:noProof/>
            <w:webHidden/>
          </w:rPr>
          <w:instrText xml:space="preserve"> PAGEREF _Toc523318815 \h </w:instrText>
        </w:r>
        <w:r w:rsidR="00CB1ECD">
          <w:rPr>
            <w:noProof/>
            <w:webHidden/>
          </w:rPr>
        </w:r>
        <w:r w:rsidR="00CB1ECD">
          <w:rPr>
            <w:noProof/>
            <w:webHidden/>
          </w:rPr>
          <w:fldChar w:fldCharType="separate"/>
        </w:r>
        <w:r w:rsidR="001B37BA">
          <w:rPr>
            <w:noProof/>
            <w:webHidden/>
          </w:rPr>
          <w:t>26</w:t>
        </w:r>
        <w:r w:rsidR="00CB1ECD">
          <w:rPr>
            <w:noProof/>
            <w:webHidden/>
          </w:rPr>
          <w:fldChar w:fldCharType="end"/>
        </w:r>
      </w:hyperlink>
    </w:p>
    <w:p w14:paraId="0D28FD93" w14:textId="49E68C5C" w:rsidR="00CB1ECD" w:rsidRDefault="00AC1A4F">
      <w:pPr>
        <w:pStyle w:val="TOC4"/>
        <w:rPr>
          <w:rFonts w:asciiTheme="minorHAnsi" w:eastAsiaTheme="minorEastAsia" w:hAnsiTheme="minorHAnsi" w:cstheme="minorBidi"/>
          <w:color w:val="auto"/>
          <w:spacing w:val="0"/>
          <w:sz w:val="22"/>
          <w:szCs w:val="22"/>
          <w:lang w:eastAsia="en-AU"/>
        </w:rPr>
      </w:pPr>
      <w:hyperlink w:anchor="_Toc523318816" w:history="1">
        <w:r w:rsidR="00CB1ECD" w:rsidRPr="00E02256">
          <w:rPr>
            <w:rStyle w:val="Hyperlink"/>
          </w:rPr>
          <w:t>3.3.1</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Context</w:t>
        </w:r>
        <w:r w:rsidR="00CB1ECD">
          <w:rPr>
            <w:webHidden/>
          </w:rPr>
          <w:tab/>
        </w:r>
        <w:r w:rsidR="00CB1ECD">
          <w:rPr>
            <w:webHidden/>
          </w:rPr>
          <w:fldChar w:fldCharType="begin"/>
        </w:r>
        <w:r w:rsidR="00CB1ECD">
          <w:rPr>
            <w:webHidden/>
          </w:rPr>
          <w:instrText xml:space="preserve"> PAGEREF _Toc523318816 \h </w:instrText>
        </w:r>
        <w:r w:rsidR="00CB1ECD">
          <w:rPr>
            <w:webHidden/>
          </w:rPr>
        </w:r>
        <w:r w:rsidR="00CB1ECD">
          <w:rPr>
            <w:webHidden/>
          </w:rPr>
          <w:fldChar w:fldCharType="separate"/>
        </w:r>
        <w:r w:rsidR="001B37BA">
          <w:rPr>
            <w:webHidden/>
          </w:rPr>
          <w:t>26</w:t>
        </w:r>
        <w:r w:rsidR="00CB1ECD">
          <w:rPr>
            <w:webHidden/>
          </w:rPr>
          <w:fldChar w:fldCharType="end"/>
        </w:r>
      </w:hyperlink>
    </w:p>
    <w:p w14:paraId="7894A24D" w14:textId="3F151A79" w:rsidR="00CB1ECD" w:rsidRDefault="00AC1A4F">
      <w:pPr>
        <w:pStyle w:val="TOC4"/>
        <w:rPr>
          <w:rFonts w:asciiTheme="minorHAnsi" w:eastAsiaTheme="minorEastAsia" w:hAnsiTheme="minorHAnsi" w:cstheme="minorBidi"/>
          <w:color w:val="auto"/>
          <w:spacing w:val="0"/>
          <w:sz w:val="22"/>
          <w:szCs w:val="22"/>
          <w:lang w:eastAsia="en-AU"/>
        </w:rPr>
      </w:pPr>
      <w:hyperlink w:anchor="_Toc523318817" w:history="1">
        <w:r w:rsidR="00CB1ECD" w:rsidRPr="00E02256">
          <w:rPr>
            <w:rStyle w:val="Hyperlink"/>
          </w:rPr>
          <w:t>3.3.2</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Evaluation findings</w:t>
        </w:r>
        <w:r w:rsidR="00CB1ECD">
          <w:rPr>
            <w:webHidden/>
          </w:rPr>
          <w:tab/>
        </w:r>
        <w:r w:rsidR="00CB1ECD">
          <w:rPr>
            <w:webHidden/>
          </w:rPr>
          <w:fldChar w:fldCharType="begin"/>
        </w:r>
        <w:r w:rsidR="00CB1ECD">
          <w:rPr>
            <w:webHidden/>
          </w:rPr>
          <w:instrText xml:space="preserve"> PAGEREF _Toc523318817 \h </w:instrText>
        </w:r>
        <w:r w:rsidR="00CB1ECD">
          <w:rPr>
            <w:webHidden/>
          </w:rPr>
        </w:r>
        <w:r w:rsidR="00CB1ECD">
          <w:rPr>
            <w:webHidden/>
          </w:rPr>
          <w:fldChar w:fldCharType="separate"/>
        </w:r>
        <w:r w:rsidR="001B37BA">
          <w:rPr>
            <w:webHidden/>
          </w:rPr>
          <w:t>27</w:t>
        </w:r>
        <w:r w:rsidR="00CB1ECD">
          <w:rPr>
            <w:webHidden/>
          </w:rPr>
          <w:fldChar w:fldCharType="end"/>
        </w:r>
      </w:hyperlink>
    </w:p>
    <w:p w14:paraId="7923631F" w14:textId="1F6287ED" w:rsidR="00CB1ECD" w:rsidRDefault="00AC1A4F">
      <w:pPr>
        <w:pStyle w:val="TOC2"/>
        <w:rPr>
          <w:rFonts w:asciiTheme="minorHAnsi" w:eastAsiaTheme="minorEastAsia" w:hAnsiTheme="minorHAnsi" w:cstheme="minorBidi"/>
          <w:caps w:val="0"/>
          <w:noProof/>
          <w:color w:val="auto"/>
          <w:spacing w:val="0"/>
          <w:sz w:val="22"/>
          <w:szCs w:val="22"/>
          <w:u w:val="none"/>
          <w:lang w:eastAsia="en-AU"/>
        </w:rPr>
      </w:pPr>
      <w:hyperlink w:anchor="_Toc523318818" w:history="1">
        <w:r w:rsidR="00CB1ECD" w:rsidRPr="00E02256">
          <w:rPr>
            <w:rStyle w:val="Hyperlink"/>
            <w:noProof/>
          </w:rPr>
          <w:t>4</w:t>
        </w:r>
        <w:r w:rsidR="00CB1ECD">
          <w:rPr>
            <w:rFonts w:asciiTheme="minorHAnsi" w:eastAsiaTheme="minorEastAsia" w:hAnsiTheme="minorHAnsi" w:cstheme="minorBidi"/>
            <w:caps w:val="0"/>
            <w:noProof/>
            <w:color w:val="auto"/>
            <w:spacing w:val="0"/>
            <w:sz w:val="22"/>
            <w:szCs w:val="22"/>
            <w:u w:val="none"/>
            <w:lang w:eastAsia="en-AU"/>
          </w:rPr>
          <w:tab/>
        </w:r>
        <w:r w:rsidR="00CB1ECD" w:rsidRPr="00E02256">
          <w:rPr>
            <w:rStyle w:val="Hyperlink"/>
            <w:noProof/>
          </w:rPr>
          <w:t>Other support programs</w:t>
        </w:r>
        <w:r w:rsidR="00CB1ECD">
          <w:rPr>
            <w:noProof/>
            <w:webHidden/>
          </w:rPr>
          <w:tab/>
        </w:r>
        <w:r w:rsidR="00CB1ECD">
          <w:rPr>
            <w:noProof/>
            <w:webHidden/>
          </w:rPr>
          <w:fldChar w:fldCharType="begin"/>
        </w:r>
        <w:r w:rsidR="00CB1ECD">
          <w:rPr>
            <w:noProof/>
            <w:webHidden/>
          </w:rPr>
          <w:instrText xml:space="preserve"> PAGEREF _Toc523318818 \h </w:instrText>
        </w:r>
        <w:r w:rsidR="00CB1ECD">
          <w:rPr>
            <w:noProof/>
            <w:webHidden/>
          </w:rPr>
        </w:r>
        <w:r w:rsidR="00CB1ECD">
          <w:rPr>
            <w:noProof/>
            <w:webHidden/>
          </w:rPr>
          <w:fldChar w:fldCharType="separate"/>
        </w:r>
        <w:r w:rsidR="001B37BA">
          <w:rPr>
            <w:noProof/>
            <w:webHidden/>
          </w:rPr>
          <w:t>31</w:t>
        </w:r>
        <w:r w:rsidR="00CB1ECD">
          <w:rPr>
            <w:noProof/>
            <w:webHidden/>
          </w:rPr>
          <w:fldChar w:fldCharType="end"/>
        </w:r>
      </w:hyperlink>
    </w:p>
    <w:p w14:paraId="5D9EA5E7" w14:textId="512B0DA0" w:rsidR="00CB1ECD" w:rsidRDefault="00AC1A4F">
      <w:pPr>
        <w:pStyle w:val="TOC3"/>
        <w:rPr>
          <w:rFonts w:asciiTheme="minorHAnsi" w:eastAsiaTheme="minorEastAsia" w:hAnsiTheme="minorHAnsi" w:cstheme="minorBidi"/>
          <w:caps w:val="0"/>
          <w:noProof/>
          <w:color w:val="auto"/>
          <w:sz w:val="22"/>
          <w:szCs w:val="22"/>
          <w:lang w:eastAsia="en-AU"/>
        </w:rPr>
      </w:pPr>
      <w:hyperlink w:anchor="_Toc523318819" w:history="1">
        <w:r w:rsidR="00CB1ECD" w:rsidRPr="00E02256">
          <w:rPr>
            <w:rStyle w:val="Hyperlink"/>
            <w:noProof/>
          </w:rPr>
          <w:t>4.1</w:t>
        </w:r>
        <w:r w:rsidR="00CB1ECD">
          <w:rPr>
            <w:rFonts w:asciiTheme="minorHAnsi" w:eastAsiaTheme="minorEastAsia" w:hAnsiTheme="minorHAnsi" w:cstheme="minorBidi"/>
            <w:caps w:val="0"/>
            <w:noProof/>
            <w:color w:val="auto"/>
            <w:sz w:val="22"/>
            <w:szCs w:val="22"/>
            <w:lang w:eastAsia="en-AU"/>
          </w:rPr>
          <w:tab/>
        </w:r>
        <w:r w:rsidR="00CB1ECD" w:rsidRPr="00E02256">
          <w:rPr>
            <w:rStyle w:val="Hyperlink"/>
            <w:noProof/>
          </w:rPr>
          <w:t>Rural Pharmacy Liaison Officer Program</w:t>
        </w:r>
        <w:r w:rsidR="00CB1ECD">
          <w:rPr>
            <w:noProof/>
            <w:webHidden/>
          </w:rPr>
          <w:tab/>
        </w:r>
        <w:r w:rsidR="00CB1ECD">
          <w:rPr>
            <w:noProof/>
            <w:webHidden/>
          </w:rPr>
          <w:fldChar w:fldCharType="begin"/>
        </w:r>
        <w:r w:rsidR="00CB1ECD">
          <w:rPr>
            <w:noProof/>
            <w:webHidden/>
          </w:rPr>
          <w:instrText xml:space="preserve"> PAGEREF _Toc523318819 \h </w:instrText>
        </w:r>
        <w:r w:rsidR="00CB1ECD">
          <w:rPr>
            <w:noProof/>
            <w:webHidden/>
          </w:rPr>
        </w:r>
        <w:r w:rsidR="00CB1ECD">
          <w:rPr>
            <w:noProof/>
            <w:webHidden/>
          </w:rPr>
          <w:fldChar w:fldCharType="separate"/>
        </w:r>
        <w:r w:rsidR="001B37BA">
          <w:rPr>
            <w:noProof/>
            <w:webHidden/>
          </w:rPr>
          <w:t>31</w:t>
        </w:r>
        <w:r w:rsidR="00CB1ECD">
          <w:rPr>
            <w:noProof/>
            <w:webHidden/>
          </w:rPr>
          <w:fldChar w:fldCharType="end"/>
        </w:r>
      </w:hyperlink>
    </w:p>
    <w:p w14:paraId="2A4F82AF" w14:textId="25F73667" w:rsidR="00CB1ECD" w:rsidRDefault="00AC1A4F">
      <w:pPr>
        <w:pStyle w:val="TOC4"/>
        <w:rPr>
          <w:rFonts w:asciiTheme="minorHAnsi" w:eastAsiaTheme="minorEastAsia" w:hAnsiTheme="minorHAnsi" w:cstheme="minorBidi"/>
          <w:color w:val="auto"/>
          <w:spacing w:val="0"/>
          <w:sz w:val="22"/>
          <w:szCs w:val="22"/>
          <w:lang w:eastAsia="en-AU"/>
        </w:rPr>
      </w:pPr>
      <w:hyperlink w:anchor="_Toc523318820" w:history="1">
        <w:r w:rsidR="00CB1ECD" w:rsidRPr="00E02256">
          <w:rPr>
            <w:rStyle w:val="Hyperlink"/>
          </w:rPr>
          <w:t>4.1.1</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Context</w:t>
        </w:r>
        <w:r w:rsidR="00CB1ECD">
          <w:rPr>
            <w:webHidden/>
          </w:rPr>
          <w:tab/>
        </w:r>
        <w:r w:rsidR="00CB1ECD">
          <w:rPr>
            <w:webHidden/>
          </w:rPr>
          <w:fldChar w:fldCharType="begin"/>
        </w:r>
        <w:r w:rsidR="00CB1ECD">
          <w:rPr>
            <w:webHidden/>
          </w:rPr>
          <w:instrText xml:space="preserve"> PAGEREF _Toc523318820 \h </w:instrText>
        </w:r>
        <w:r w:rsidR="00CB1ECD">
          <w:rPr>
            <w:webHidden/>
          </w:rPr>
        </w:r>
        <w:r w:rsidR="00CB1ECD">
          <w:rPr>
            <w:webHidden/>
          </w:rPr>
          <w:fldChar w:fldCharType="separate"/>
        </w:r>
        <w:r w:rsidR="001B37BA">
          <w:rPr>
            <w:webHidden/>
          </w:rPr>
          <w:t>31</w:t>
        </w:r>
        <w:r w:rsidR="00CB1ECD">
          <w:rPr>
            <w:webHidden/>
          </w:rPr>
          <w:fldChar w:fldCharType="end"/>
        </w:r>
      </w:hyperlink>
    </w:p>
    <w:p w14:paraId="47553F67" w14:textId="1AFCDF9B" w:rsidR="00CB1ECD" w:rsidRDefault="00AC1A4F">
      <w:pPr>
        <w:pStyle w:val="TOC4"/>
        <w:rPr>
          <w:rFonts w:asciiTheme="minorHAnsi" w:eastAsiaTheme="minorEastAsia" w:hAnsiTheme="minorHAnsi" w:cstheme="minorBidi"/>
          <w:color w:val="auto"/>
          <w:spacing w:val="0"/>
          <w:sz w:val="22"/>
          <w:szCs w:val="22"/>
          <w:lang w:eastAsia="en-AU"/>
        </w:rPr>
      </w:pPr>
      <w:hyperlink w:anchor="_Toc523318821" w:history="1">
        <w:r w:rsidR="00CB1ECD" w:rsidRPr="00E02256">
          <w:rPr>
            <w:rStyle w:val="Hyperlink"/>
          </w:rPr>
          <w:t>4.1.2</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Evaluation findings</w:t>
        </w:r>
        <w:r w:rsidR="00CB1ECD">
          <w:rPr>
            <w:webHidden/>
          </w:rPr>
          <w:tab/>
        </w:r>
        <w:r w:rsidR="00CB1ECD">
          <w:rPr>
            <w:webHidden/>
          </w:rPr>
          <w:fldChar w:fldCharType="begin"/>
        </w:r>
        <w:r w:rsidR="00CB1ECD">
          <w:rPr>
            <w:webHidden/>
          </w:rPr>
          <w:instrText xml:space="preserve"> PAGEREF _Toc523318821 \h </w:instrText>
        </w:r>
        <w:r w:rsidR="00CB1ECD">
          <w:rPr>
            <w:webHidden/>
          </w:rPr>
        </w:r>
        <w:r w:rsidR="00CB1ECD">
          <w:rPr>
            <w:webHidden/>
          </w:rPr>
          <w:fldChar w:fldCharType="separate"/>
        </w:r>
        <w:r w:rsidR="001B37BA">
          <w:rPr>
            <w:webHidden/>
          </w:rPr>
          <w:t>32</w:t>
        </w:r>
        <w:r w:rsidR="00CB1ECD">
          <w:rPr>
            <w:webHidden/>
          </w:rPr>
          <w:fldChar w:fldCharType="end"/>
        </w:r>
      </w:hyperlink>
    </w:p>
    <w:p w14:paraId="2C6E255D" w14:textId="2E6B2068" w:rsidR="00CB1ECD" w:rsidRDefault="00AC1A4F">
      <w:pPr>
        <w:pStyle w:val="TOC3"/>
        <w:rPr>
          <w:rFonts w:asciiTheme="minorHAnsi" w:eastAsiaTheme="minorEastAsia" w:hAnsiTheme="minorHAnsi" w:cstheme="minorBidi"/>
          <w:caps w:val="0"/>
          <w:noProof/>
          <w:color w:val="auto"/>
          <w:sz w:val="22"/>
          <w:szCs w:val="22"/>
          <w:lang w:eastAsia="en-AU"/>
        </w:rPr>
      </w:pPr>
      <w:hyperlink w:anchor="_Toc523318822" w:history="1">
        <w:r w:rsidR="00CB1ECD" w:rsidRPr="00E02256">
          <w:rPr>
            <w:rStyle w:val="Hyperlink"/>
            <w:noProof/>
          </w:rPr>
          <w:t>4.2</w:t>
        </w:r>
        <w:r w:rsidR="00CB1ECD">
          <w:rPr>
            <w:rFonts w:asciiTheme="minorHAnsi" w:eastAsiaTheme="minorEastAsia" w:hAnsiTheme="minorHAnsi" w:cstheme="minorBidi"/>
            <w:caps w:val="0"/>
            <w:noProof/>
            <w:color w:val="auto"/>
            <w:sz w:val="22"/>
            <w:szCs w:val="22"/>
            <w:lang w:eastAsia="en-AU"/>
          </w:rPr>
          <w:tab/>
        </w:r>
        <w:r w:rsidR="00CB1ECD" w:rsidRPr="00E02256">
          <w:rPr>
            <w:rStyle w:val="Hyperlink"/>
            <w:noProof/>
          </w:rPr>
          <w:t>Administrative Support to Pharmacy Schools</w:t>
        </w:r>
        <w:r w:rsidR="00CB1ECD">
          <w:rPr>
            <w:noProof/>
            <w:webHidden/>
          </w:rPr>
          <w:tab/>
        </w:r>
        <w:r w:rsidR="00CB1ECD">
          <w:rPr>
            <w:noProof/>
            <w:webHidden/>
          </w:rPr>
          <w:fldChar w:fldCharType="begin"/>
        </w:r>
        <w:r w:rsidR="00CB1ECD">
          <w:rPr>
            <w:noProof/>
            <w:webHidden/>
          </w:rPr>
          <w:instrText xml:space="preserve"> PAGEREF _Toc523318822 \h </w:instrText>
        </w:r>
        <w:r w:rsidR="00CB1ECD">
          <w:rPr>
            <w:noProof/>
            <w:webHidden/>
          </w:rPr>
        </w:r>
        <w:r w:rsidR="00CB1ECD">
          <w:rPr>
            <w:noProof/>
            <w:webHidden/>
          </w:rPr>
          <w:fldChar w:fldCharType="separate"/>
        </w:r>
        <w:r w:rsidR="001B37BA">
          <w:rPr>
            <w:noProof/>
            <w:webHidden/>
          </w:rPr>
          <w:t>34</w:t>
        </w:r>
        <w:r w:rsidR="00CB1ECD">
          <w:rPr>
            <w:noProof/>
            <w:webHidden/>
          </w:rPr>
          <w:fldChar w:fldCharType="end"/>
        </w:r>
      </w:hyperlink>
    </w:p>
    <w:p w14:paraId="189C3D8D" w14:textId="3C80E121" w:rsidR="00CB1ECD" w:rsidRDefault="00AC1A4F">
      <w:pPr>
        <w:pStyle w:val="TOC4"/>
        <w:rPr>
          <w:rFonts w:asciiTheme="minorHAnsi" w:eastAsiaTheme="minorEastAsia" w:hAnsiTheme="minorHAnsi" w:cstheme="minorBidi"/>
          <w:color w:val="auto"/>
          <w:spacing w:val="0"/>
          <w:sz w:val="22"/>
          <w:szCs w:val="22"/>
          <w:lang w:eastAsia="en-AU"/>
        </w:rPr>
      </w:pPr>
      <w:hyperlink w:anchor="_Toc523318823" w:history="1">
        <w:r w:rsidR="00CB1ECD" w:rsidRPr="00E02256">
          <w:rPr>
            <w:rStyle w:val="Hyperlink"/>
          </w:rPr>
          <w:t>4.2.1</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Context</w:t>
        </w:r>
        <w:r w:rsidR="00CB1ECD">
          <w:rPr>
            <w:webHidden/>
          </w:rPr>
          <w:tab/>
        </w:r>
        <w:r w:rsidR="00CB1ECD">
          <w:rPr>
            <w:webHidden/>
          </w:rPr>
          <w:fldChar w:fldCharType="begin"/>
        </w:r>
        <w:r w:rsidR="00CB1ECD">
          <w:rPr>
            <w:webHidden/>
          </w:rPr>
          <w:instrText xml:space="preserve"> PAGEREF _Toc523318823 \h </w:instrText>
        </w:r>
        <w:r w:rsidR="00CB1ECD">
          <w:rPr>
            <w:webHidden/>
          </w:rPr>
        </w:r>
        <w:r w:rsidR="00CB1ECD">
          <w:rPr>
            <w:webHidden/>
          </w:rPr>
          <w:fldChar w:fldCharType="separate"/>
        </w:r>
        <w:r w:rsidR="001B37BA">
          <w:rPr>
            <w:webHidden/>
          </w:rPr>
          <w:t>34</w:t>
        </w:r>
        <w:r w:rsidR="00CB1ECD">
          <w:rPr>
            <w:webHidden/>
          </w:rPr>
          <w:fldChar w:fldCharType="end"/>
        </w:r>
      </w:hyperlink>
    </w:p>
    <w:p w14:paraId="3CF1F8C1" w14:textId="67DD5565" w:rsidR="00CB1ECD" w:rsidRDefault="00AC1A4F">
      <w:pPr>
        <w:pStyle w:val="TOC4"/>
        <w:rPr>
          <w:rFonts w:asciiTheme="minorHAnsi" w:eastAsiaTheme="minorEastAsia" w:hAnsiTheme="minorHAnsi" w:cstheme="minorBidi"/>
          <w:color w:val="auto"/>
          <w:spacing w:val="0"/>
          <w:sz w:val="22"/>
          <w:szCs w:val="22"/>
          <w:lang w:eastAsia="en-AU"/>
        </w:rPr>
      </w:pPr>
      <w:hyperlink w:anchor="_Toc523318824" w:history="1">
        <w:r w:rsidR="00CB1ECD" w:rsidRPr="00E02256">
          <w:rPr>
            <w:rStyle w:val="Hyperlink"/>
          </w:rPr>
          <w:t>4.2.2</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Evaluation findings</w:t>
        </w:r>
        <w:r w:rsidR="00CB1ECD">
          <w:rPr>
            <w:webHidden/>
          </w:rPr>
          <w:tab/>
        </w:r>
        <w:r w:rsidR="00CB1ECD">
          <w:rPr>
            <w:webHidden/>
          </w:rPr>
          <w:fldChar w:fldCharType="begin"/>
        </w:r>
        <w:r w:rsidR="00CB1ECD">
          <w:rPr>
            <w:webHidden/>
          </w:rPr>
          <w:instrText xml:space="preserve"> PAGEREF _Toc523318824 \h </w:instrText>
        </w:r>
        <w:r w:rsidR="00CB1ECD">
          <w:rPr>
            <w:webHidden/>
          </w:rPr>
        </w:r>
        <w:r w:rsidR="00CB1ECD">
          <w:rPr>
            <w:webHidden/>
          </w:rPr>
          <w:fldChar w:fldCharType="separate"/>
        </w:r>
        <w:r w:rsidR="001B37BA">
          <w:rPr>
            <w:webHidden/>
          </w:rPr>
          <w:t>35</w:t>
        </w:r>
        <w:r w:rsidR="00CB1ECD">
          <w:rPr>
            <w:webHidden/>
          </w:rPr>
          <w:fldChar w:fldCharType="end"/>
        </w:r>
      </w:hyperlink>
    </w:p>
    <w:p w14:paraId="29E0D63D" w14:textId="42862DED" w:rsidR="00CB1ECD" w:rsidRDefault="00AC1A4F">
      <w:pPr>
        <w:pStyle w:val="TOC2"/>
        <w:rPr>
          <w:rFonts w:asciiTheme="minorHAnsi" w:eastAsiaTheme="minorEastAsia" w:hAnsiTheme="minorHAnsi" w:cstheme="minorBidi"/>
          <w:caps w:val="0"/>
          <w:noProof/>
          <w:color w:val="auto"/>
          <w:spacing w:val="0"/>
          <w:sz w:val="22"/>
          <w:szCs w:val="22"/>
          <w:u w:val="none"/>
          <w:lang w:eastAsia="en-AU"/>
        </w:rPr>
      </w:pPr>
      <w:hyperlink w:anchor="_Toc523318825" w:history="1">
        <w:r w:rsidR="00CB1ECD" w:rsidRPr="00E02256">
          <w:rPr>
            <w:rStyle w:val="Hyperlink"/>
            <w:noProof/>
          </w:rPr>
          <w:t>5</w:t>
        </w:r>
        <w:r w:rsidR="00CB1ECD">
          <w:rPr>
            <w:rFonts w:asciiTheme="minorHAnsi" w:eastAsiaTheme="minorEastAsia" w:hAnsiTheme="minorHAnsi" w:cstheme="minorBidi"/>
            <w:caps w:val="0"/>
            <w:noProof/>
            <w:color w:val="auto"/>
            <w:spacing w:val="0"/>
            <w:sz w:val="22"/>
            <w:szCs w:val="22"/>
            <w:u w:val="none"/>
            <w:lang w:eastAsia="en-AU"/>
          </w:rPr>
          <w:tab/>
        </w:r>
        <w:r w:rsidR="00CB1ECD" w:rsidRPr="00E02256">
          <w:rPr>
            <w:rStyle w:val="Hyperlink"/>
            <w:noProof/>
          </w:rPr>
          <w:t>Programs supporting access to culturally appropriate services</w:t>
        </w:r>
        <w:r w:rsidR="00CB1ECD">
          <w:rPr>
            <w:noProof/>
            <w:webHidden/>
          </w:rPr>
          <w:tab/>
        </w:r>
        <w:r w:rsidR="00CB1ECD">
          <w:rPr>
            <w:noProof/>
            <w:webHidden/>
          </w:rPr>
          <w:fldChar w:fldCharType="begin"/>
        </w:r>
        <w:r w:rsidR="00CB1ECD">
          <w:rPr>
            <w:noProof/>
            <w:webHidden/>
          </w:rPr>
          <w:instrText xml:space="preserve"> PAGEREF _Toc523318825 \h </w:instrText>
        </w:r>
        <w:r w:rsidR="00CB1ECD">
          <w:rPr>
            <w:noProof/>
            <w:webHidden/>
          </w:rPr>
        </w:r>
        <w:r w:rsidR="00CB1ECD">
          <w:rPr>
            <w:noProof/>
            <w:webHidden/>
          </w:rPr>
          <w:fldChar w:fldCharType="separate"/>
        </w:r>
        <w:r w:rsidR="001B37BA">
          <w:rPr>
            <w:noProof/>
            <w:webHidden/>
          </w:rPr>
          <w:t>37</w:t>
        </w:r>
        <w:r w:rsidR="00CB1ECD">
          <w:rPr>
            <w:noProof/>
            <w:webHidden/>
          </w:rPr>
          <w:fldChar w:fldCharType="end"/>
        </w:r>
      </w:hyperlink>
    </w:p>
    <w:p w14:paraId="318798A2" w14:textId="7480BC60" w:rsidR="00CB1ECD" w:rsidRDefault="00AC1A4F">
      <w:pPr>
        <w:pStyle w:val="TOC3"/>
        <w:rPr>
          <w:rFonts w:asciiTheme="minorHAnsi" w:eastAsiaTheme="minorEastAsia" w:hAnsiTheme="minorHAnsi" w:cstheme="minorBidi"/>
          <w:caps w:val="0"/>
          <w:noProof/>
          <w:color w:val="auto"/>
          <w:sz w:val="22"/>
          <w:szCs w:val="22"/>
          <w:lang w:eastAsia="en-AU"/>
        </w:rPr>
      </w:pPr>
      <w:hyperlink w:anchor="_Toc523318826" w:history="1">
        <w:r w:rsidR="00CB1ECD" w:rsidRPr="00E02256">
          <w:rPr>
            <w:rStyle w:val="Hyperlink"/>
            <w:noProof/>
          </w:rPr>
          <w:t>5.1</w:t>
        </w:r>
        <w:r w:rsidR="00CB1ECD">
          <w:rPr>
            <w:rFonts w:asciiTheme="minorHAnsi" w:eastAsiaTheme="minorEastAsia" w:hAnsiTheme="minorHAnsi" w:cstheme="minorBidi"/>
            <w:caps w:val="0"/>
            <w:noProof/>
            <w:color w:val="auto"/>
            <w:sz w:val="22"/>
            <w:szCs w:val="22"/>
            <w:lang w:eastAsia="en-AU"/>
          </w:rPr>
          <w:tab/>
        </w:r>
        <w:r w:rsidR="00CB1ECD" w:rsidRPr="00E02256">
          <w:rPr>
            <w:rStyle w:val="Hyperlink"/>
            <w:noProof/>
          </w:rPr>
          <w:t>Aboriginal and Torres Strait Islander Pharmacy Assistant Traineeship Scheme</w:t>
        </w:r>
        <w:r w:rsidR="00CB1ECD">
          <w:rPr>
            <w:noProof/>
            <w:webHidden/>
          </w:rPr>
          <w:tab/>
        </w:r>
        <w:r w:rsidR="00CB1ECD">
          <w:rPr>
            <w:noProof/>
            <w:webHidden/>
          </w:rPr>
          <w:fldChar w:fldCharType="begin"/>
        </w:r>
        <w:r w:rsidR="00CB1ECD">
          <w:rPr>
            <w:noProof/>
            <w:webHidden/>
          </w:rPr>
          <w:instrText xml:space="preserve"> PAGEREF _Toc523318826 \h </w:instrText>
        </w:r>
        <w:r w:rsidR="00CB1ECD">
          <w:rPr>
            <w:noProof/>
            <w:webHidden/>
          </w:rPr>
        </w:r>
        <w:r w:rsidR="00CB1ECD">
          <w:rPr>
            <w:noProof/>
            <w:webHidden/>
          </w:rPr>
          <w:fldChar w:fldCharType="separate"/>
        </w:r>
        <w:r w:rsidR="001B37BA">
          <w:rPr>
            <w:noProof/>
            <w:webHidden/>
          </w:rPr>
          <w:t>37</w:t>
        </w:r>
        <w:r w:rsidR="00CB1ECD">
          <w:rPr>
            <w:noProof/>
            <w:webHidden/>
          </w:rPr>
          <w:fldChar w:fldCharType="end"/>
        </w:r>
      </w:hyperlink>
    </w:p>
    <w:p w14:paraId="39F75AB7" w14:textId="03DBB3D7" w:rsidR="00CB1ECD" w:rsidRDefault="00AC1A4F">
      <w:pPr>
        <w:pStyle w:val="TOC4"/>
        <w:rPr>
          <w:rFonts w:asciiTheme="minorHAnsi" w:eastAsiaTheme="minorEastAsia" w:hAnsiTheme="minorHAnsi" w:cstheme="minorBidi"/>
          <w:color w:val="auto"/>
          <w:spacing w:val="0"/>
          <w:sz w:val="22"/>
          <w:szCs w:val="22"/>
          <w:lang w:eastAsia="en-AU"/>
        </w:rPr>
      </w:pPr>
      <w:hyperlink w:anchor="_Toc523318827" w:history="1">
        <w:r w:rsidR="00CB1ECD" w:rsidRPr="00E02256">
          <w:rPr>
            <w:rStyle w:val="Hyperlink"/>
          </w:rPr>
          <w:t>5.1.1</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Context</w:t>
        </w:r>
        <w:r w:rsidR="00CB1ECD">
          <w:rPr>
            <w:webHidden/>
          </w:rPr>
          <w:tab/>
        </w:r>
        <w:r w:rsidR="00CB1ECD">
          <w:rPr>
            <w:webHidden/>
          </w:rPr>
          <w:fldChar w:fldCharType="begin"/>
        </w:r>
        <w:r w:rsidR="00CB1ECD">
          <w:rPr>
            <w:webHidden/>
          </w:rPr>
          <w:instrText xml:space="preserve"> PAGEREF _Toc523318827 \h </w:instrText>
        </w:r>
        <w:r w:rsidR="00CB1ECD">
          <w:rPr>
            <w:webHidden/>
          </w:rPr>
        </w:r>
        <w:r w:rsidR="00CB1ECD">
          <w:rPr>
            <w:webHidden/>
          </w:rPr>
          <w:fldChar w:fldCharType="separate"/>
        </w:r>
        <w:r w:rsidR="001B37BA">
          <w:rPr>
            <w:webHidden/>
          </w:rPr>
          <w:t>37</w:t>
        </w:r>
        <w:r w:rsidR="00CB1ECD">
          <w:rPr>
            <w:webHidden/>
          </w:rPr>
          <w:fldChar w:fldCharType="end"/>
        </w:r>
      </w:hyperlink>
    </w:p>
    <w:p w14:paraId="615FEC7B" w14:textId="68AE1524" w:rsidR="00CB1ECD" w:rsidRDefault="00AC1A4F">
      <w:pPr>
        <w:pStyle w:val="TOC4"/>
        <w:rPr>
          <w:rFonts w:asciiTheme="minorHAnsi" w:eastAsiaTheme="minorEastAsia" w:hAnsiTheme="minorHAnsi" w:cstheme="minorBidi"/>
          <w:color w:val="auto"/>
          <w:spacing w:val="0"/>
          <w:sz w:val="22"/>
          <w:szCs w:val="22"/>
          <w:lang w:eastAsia="en-AU"/>
        </w:rPr>
      </w:pPr>
      <w:hyperlink w:anchor="_Toc523318828" w:history="1">
        <w:r w:rsidR="00CB1ECD" w:rsidRPr="00E02256">
          <w:rPr>
            <w:rStyle w:val="Hyperlink"/>
          </w:rPr>
          <w:t>5.1.2</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Evaluation findings</w:t>
        </w:r>
        <w:r w:rsidR="00CB1ECD">
          <w:rPr>
            <w:webHidden/>
          </w:rPr>
          <w:tab/>
        </w:r>
        <w:r w:rsidR="00CB1ECD">
          <w:rPr>
            <w:webHidden/>
          </w:rPr>
          <w:fldChar w:fldCharType="begin"/>
        </w:r>
        <w:r w:rsidR="00CB1ECD">
          <w:rPr>
            <w:webHidden/>
          </w:rPr>
          <w:instrText xml:space="preserve"> PAGEREF _Toc523318828 \h </w:instrText>
        </w:r>
        <w:r w:rsidR="00CB1ECD">
          <w:rPr>
            <w:webHidden/>
          </w:rPr>
        </w:r>
        <w:r w:rsidR="00CB1ECD">
          <w:rPr>
            <w:webHidden/>
          </w:rPr>
          <w:fldChar w:fldCharType="separate"/>
        </w:r>
        <w:r w:rsidR="001B37BA">
          <w:rPr>
            <w:webHidden/>
          </w:rPr>
          <w:t>37</w:t>
        </w:r>
        <w:r w:rsidR="00CB1ECD">
          <w:rPr>
            <w:webHidden/>
          </w:rPr>
          <w:fldChar w:fldCharType="end"/>
        </w:r>
      </w:hyperlink>
    </w:p>
    <w:p w14:paraId="380007E5" w14:textId="63F941CE" w:rsidR="00CB1ECD" w:rsidRDefault="00AC1A4F">
      <w:pPr>
        <w:pStyle w:val="TOC3"/>
        <w:rPr>
          <w:rFonts w:asciiTheme="minorHAnsi" w:eastAsiaTheme="minorEastAsia" w:hAnsiTheme="minorHAnsi" w:cstheme="minorBidi"/>
          <w:caps w:val="0"/>
          <w:noProof/>
          <w:color w:val="auto"/>
          <w:sz w:val="22"/>
          <w:szCs w:val="22"/>
          <w:lang w:eastAsia="en-AU"/>
        </w:rPr>
      </w:pPr>
      <w:hyperlink w:anchor="_Toc523318829" w:history="1">
        <w:r w:rsidR="00CB1ECD" w:rsidRPr="00E02256">
          <w:rPr>
            <w:rStyle w:val="Hyperlink"/>
            <w:noProof/>
          </w:rPr>
          <w:t>5.2</w:t>
        </w:r>
        <w:r w:rsidR="00CB1ECD">
          <w:rPr>
            <w:rFonts w:asciiTheme="minorHAnsi" w:eastAsiaTheme="minorEastAsia" w:hAnsiTheme="minorHAnsi" w:cstheme="minorBidi"/>
            <w:caps w:val="0"/>
            <w:noProof/>
            <w:color w:val="auto"/>
            <w:sz w:val="22"/>
            <w:szCs w:val="22"/>
            <w:lang w:eastAsia="en-AU"/>
          </w:rPr>
          <w:tab/>
        </w:r>
        <w:r w:rsidR="00CB1ECD" w:rsidRPr="00E02256">
          <w:rPr>
            <w:rStyle w:val="Hyperlink"/>
            <w:noProof/>
          </w:rPr>
          <w:t>Aboriginal and Torres Strait Islander Pharmacy Scholarship Scheme</w:t>
        </w:r>
        <w:r w:rsidR="00CB1ECD">
          <w:rPr>
            <w:noProof/>
            <w:webHidden/>
          </w:rPr>
          <w:tab/>
        </w:r>
        <w:r w:rsidR="00CB1ECD">
          <w:rPr>
            <w:noProof/>
            <w:webHidden/>
          </w:rPr>
          <w:fldChar w:fldCharType="begin"/>
        </w:r>
        <w:r w:rsidR="00CB1ECD">
          <w:rPr>
            <w:noProof/>
            <w:webHidden/>
          </w:rPr>
          <w:instrText xml:space="preserve"> PAGEREF _Toc523318829 \h </w:instrText>
        </w:r>
        <w:r w:rsidR="00CB1ECD">
          <w:rPr>
            <w:noProof/>
            <w:webHidden/>
          </w:rPr>
        </w:r>
        <w:r w:rsidR="00CB1ECD">
          <w:rPr>
            <w:noProof/>
            <w:webHidden/>
          </w:rPr>
          <w:fldChar w:fldCharType="separate"/>
        </w:r>
        <w:r w:rsidR="001B37BA">
          <w:rPr>
            <w:noProof/>
            <w:webHidden/>
          </w:rPr>
          <w:t>40</w:t>
        </w:r>
        <w:r w:rsidR="00CB1ECD">
          <w:rPr>
            <w:noProof/>
            <w:webHidden/>
          </w:rPr>
          <w:fldChar w:fldCharType="end"/>
        </w:r>
      </w:hyperlink>
    </w:p>
    <w:p w14:paraId="743BB487" w14:textId="2EC174A5" w:rsidR="00CB1ECD" w:rsidRDefault="00AC1A4F">
      <w:pPr>
        <w:pStyle w:val="TOC4"/>
        <w:rPr>
          <w:rFonts w:asciiTheme="minorHAnsi" w:eastAsiaTheme="minorEastAsia" w:hAnsiTheme="minorHAnsi" w:cstheme="minorBidi"/>
          <w:color w:val="auto"/>
          <w:spacing w:val="0"/>
          <w:sz w:val="22"/>
          <w:szCs w:val="22"/>
          <w:lang w:eastAsia="en-AU"/>
        </w:rPr>
      </w:pPr>
      <w:hyperlink w:anchor="_Toc523318830" w:history="1">
        <w:r w:rsidR="00CB1ECD" w:rsidRPr="00E02256">
          <w:rPr>
            <w:rStyle w:val="Hyperlink"/>
          </w:rPr>
          <w:t>5.2.1</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Context</w:t>
        </w:r>
        <w:r w:rsidR="00CB1ECD">
          <w:rPr>
            <w:webHidden/>
          </w:rPr>
          <w:tab/>
        </w:r>
        <w:r w:rsidR="00CB1ECD">
          <w:rPr>
            <w:webHidden/>
          </w:rPr>
          <w:fldChar w:fldCharType="begin"/>
        </w:r>
        <w:r w:rsidR="00CB1ECD">
          <w:rPr>
            <w:webHidden/>
          </w:rPr>
          <w:instrText xml:space="preserve"> PAGEREF _Toc523318830 \h </w:instrText>
        </w:r>
        <w:r w:rsidR="00CB1ECD">
          <w:rPr>
            <w:webHidden/>
          </w:rPr>
        </w:r>
        <w:r w:rsidR="00CB1ECD">
          <w:rPr>
            <w:webHidden/>
          </w:rPr>
          <w:fldChar w:fldCharType="separate"/>
        </w:r>
        <w:r w:rsidR="001B37BA">
          <w:rPr>
            <w:webHidden/>
          </w:rPr>
          <w:t>40</w:t>
        </w:r>
        <w:r w:rsidR="00CB1ECD">
          <w:rPr>
            <w:webHidden/>
          </w:rPr>
          <w:fldChar w:fldCharType="end"/>
        </w:r>
      </w:hyperlink>
    </w:p>
    <w:p w14:paraId="3189A52A" w14:textId="761C0EDF" w:rsidR="00CB1ECD" w:rsidRDefault="00AC1A4F">
      <w:pPr>
        <w:pStyle w:val="TOC4"/>
        <w:rPr>
          <w:rFonts w:asciiTheme="minorHAnsi" w:eastAsiaTheme="minorEastAsia" w:hAnsiTheme="minorHAnsi" w:cstheme="minorBidi"/>
          <w:color w:val="auto"/>
          <w:spacing w:val="0"/>
          <w:sz w:val="22"/>
          <w:szCs w:val="22"/>
          <w:lang w:eastAsia="en-AU"/>
        </w:rPr>
      </w:pPr>
      <w:hyperlink w:anchor="_Toc523318831" w:history="1">
        <w:r w:rsidR="00CB1ECD" w:rsidRPr="00E02256">
          <w:rPr>
            <w:rStyle w:val="Hyperlink"/>
          </w:rPr>
          <w:t>5.2.2</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Evaluation findings</w:t>
        </w:r>
        <w:r w:rsidR="00CB1ECD">
          <w:rPr>
            <w:webHidden/>
          </w:rPr>
          <w:tab/>
        </w:r>
        <w:r w:rsidR="00CB1ECD">
          <w:rPr>
            <w:webHidden/>
          </w:rPr>
          <w:fldChar w:fldCharType="begin"/>
        </w:r>
        <w:r w:rsidR="00CB1ECD">
          <w:rPr>
            <w:webHidden/>
          </w:rPr>
          <w:instrText xml:space="preserve"> PAGEREF _Toc523318831 \h </w:instrText>
        </w:r>
        <w:r w:rsidR="00CB1ECD">
          <w:rPr>
            <w:webHidden/>
          </w:rPr>
        </w:r>
        <w:r w:rsidR="00CB1ECD">
          <w:rPr>
            <w:webHidden/>
          </w:rPr>
          <w:fldChar w:fldCharType="separate"/>
        </w:r>
        <w:r w:rsidR="001B37BA">
          <w:rPr>
            <w:webHidden/>
          </w:rPr>
          <w:t>40</w:t>
        </w:r>
        <w:r w:rsidR="00CB1ECD">
          <w:rPr>
            <w:webHidden/>
          </w:rPr>
          <w:fldChar w:fldCharType="end"/>
        </w:r>
      </w:hyperlink>
    </w:p>
    <w:p w14:paraId="08921B7F" w14:textId="3D960496" w:rsidR="00CB1ECD" w:rsidRDefault="00AC1A4F">
      <w:pPr>
        <w:pStyle w:val="TOC2"/>
        <w:rPr>
          <w:rFonts w:asciiTheme="minorHAnsi" w:eastAsiaTheme="minorEastAsia" w:hAnsiTheme="minorHAnsi" w:cstheme="minorBidi"/>
          <w:caps w:val="0"/>
          <w:noProof/>
          <w:color w:val="auto"/>
          <w:spacing w:val="0"/>
          <w:sz w:val="22"/>
          <w:szCs w:val="22"/>
          <w:u w:val="none"/>
          <w:lang w:eastAsia="en-AU"/>
        </w:rPr>
      </w:pPr>
      <w:hyperlink w:anchor="_Toc523318832" w:history="1">
        <w:r w:rsidR="00CB1ECD" w:rsidRPr="00E02256">
          <w:rPr>
            <w:rStyle w:val="Hyperlink"/>
            <w:noProof/>
          </w:rPr>
          <w:t>6</w:t>
        </w:r>
        <w:r w:rsidR="00CB1ECD">
          <w:rPr>
            <w:rFonts w:asciiTheme="minorHAnsi" w:eastAsiaTheme="minorEastAsia" w:hAnsiTheme="minorHAnsi" w:cstheme="minorBidi"/>
            <w:caps w:val="0"/>
            <w:noProof/>
            <w:color w:val="auto"/>
            <w:spacing w:val="0"/>
            <w:sz w:val="22"/>
            <w:szCs w:val="22"/>
            <w:u w:val="none"/>
            <w:lang w:eastAsia="en-AU"/>
          </w:rPr>
          <w:tab/>
        </w:r>
        <w:r w:rsidR="00CB1ECD" w:rsidRPr="00E02256">
          <w:rPr>
            <w:rStyle w:val="Hyperlink"/>
            <w:noProof/>
          </w:rPr>
          <w:t>References</w:t>
        </w:r>
        <w:r w:rsidR="00CB1ECD">
          <w:rPr>
            <w:noProof/>
            <w:webHidden/>
          </w:rPr>
          <w:tab/>
        </w:r>
        <w:r w:rsidR="00CB1ECD">
          <w:rPr>
            <w:noProof/>
            <w:webHidden/>
          </w:rPr>
          <w:fldChar w:fldCharType="begin"/>
        </w:r>
        <w:r w:rsidR="00CB1ECD">
          <w:rPr>
            <w:noProof/>
            <w:webHidden/>
          </w:rPr>
          <w:instrText xml:space="preserve"> PAGEREF _Toc523318832 \h </w:instrText>
        </w:r>
        <w:r w:rsidR="00CB1ECD">
          <w:rPr>
            <w:noProof/>
            <w:webHidden/>
          </w:rPr>
        </w:r>
        <w:r w:rsidR="00CB1ECD">
          <w:rPr>
            <w:noProof/>
            <w:webHidden/>
          </w:rPr>
          <w:fldChar w:fldCharType="separate"/>
        </w:r>
        <w:r w:rsidR="001B37BA">
          <w:rPr>
            <w:noProof/>
            <w:webHidden/>
          </w:rPr>
          <w:t>43</w:t>
        </w:r>
        <w:r w:rsidR="00CB1ECD">
          <w:rPr>
            <w:noProof/>
            <w:webHidden/>
          </w:rPr>
          <w:fldChar w:fldCharType="end"/>
        </w:r>
      </w:hyperlink>
    </w:p>
    <w:p w14:paraId="7BC21698" w14:textId="2E903EA1" w:rsidR="006A02A7" w:rsidRDefault="00B830D0" w:rsidP="000700C5">
      <w:pPr>
        <w:pStyle w:val="BodyCopy"/>
      </w:pPr>
      <w:r w:rsidRPr="0089011F">
        <w:fldChar w:fldCharType="end"/>
      </w:r>
    </w:p>
    <w:p w14:paraId="3A41E9C0" w14:textId="77777777" w:rsidR="006A02A7" w:rsidRDefault="006A02A7" w:rsidP="000700C5">
      <w:pPr>
        <w:pStyle w:val="BodyCopy"/>
        <w:sectPr w:rsidR="006A02A7" w:rsidSect="000157E1">
          <w:headerReference w:type="even" r:id="rId12"/>
          <w:headerReference w:type="default" r:id="rId13"/>
          <w:pgSz w:w="16840" w:h="11901" w:orient="landscape" w:code="9"/>
          <w:pgMar w:top="1702" w:right="1304" w:bottom="851" w:left="737" w:header="567" w:footer="284" w:gutter="0"/>
          <w:pgNumType w:start="0"/>
          <w:cols w:num="2" w:space="708"/>
          <w:formProt w:val="0"/>
          <w:docGrid w:linePitch="272"/>
        </w:sectPr>
      </w:pPr>
    </w:p>
    <w:p w14:paraId="15EAB380" w14:textId="74717A41" w:rsidR="00AA36A0" w:rsidRPr="00E00D3A" w:rsidRDefault="00AA36A0" w:rsidP="00AA36A0">
      <w:pPr>
        <w:pStyle w:val="Heading1"/>
        <w:numPr>
          <w:ilvl w:val="0"/>
          <w:numId w:val="0"/>
        </w:numPr>
      </w:pPr>
      <w:bookmarkStart w:id="1" w:name="_Toc523318788"/>
      <w:r>
        <w:lastRenderedPageBreak/>
        <w:t>Abbreviations</w:t>
      </w:r>
      <w:bookmarkEnd w:id="1"/>
    </w:p>
    <w:tbl>
      <w:tblPr>
        <w:tblStyle w:val="AbbreviationsTable"/>
        <w:tblW w:w="5000" w:type="pct"/>
        <w:tblLayout w:type="fixed"/>
        <w:tblLook w:val="04A0" w:firstRow="1" w:lastRow="0" w:firstColumn="1" w:lastColumn="0" w:noHBand="0" w:noVBand="1"/>
        <w:tblCaption w:val="Abbreviations"/>
        <w:tblDescription w:val="List of Abbreviations used in the document."/>
      </w:tblPr>
      <w:tblGrid>
        <w:gridCol w:w="1532"/>
        <w:gridCol w:w="5513"/>
      </w:tblGrid>
      <w:tr w:rsidR="00AA36A0" w14:paraId="66A4582F" w14:textId="77777777" w:rsidTr="00197882">
        <w:tc>
          <w:tcPr>
            <w:cnfStyle w:val="001000000000" w:firstRow="0" w:lastRow="0" w:firstColumn="1" w:lastColumn="0" w:oddVBand="0" w:evenVBand="0" w:oddHBand="0" w:evenHBand="0" w:firstRowFirstColumn="0" w:firstRowLastColumn="0" w:lastRowFirstColumn="0" w:lastRowLastColumn="0"/>
            <w:tcW w:w="1532" w:type="dxa"/>
          </w:tcPr>
          <w:p w14:paraId="311AF6E2" w14:textId="77777777" w:rsidR="00AA36A0" w:rsidRDefault="00AA36A0" w:rsidP="00AA36A0">
            <w:pPr>
              <w:pStyle w:val="Abbreviations1"/>
            </w:pPr>
            <w:r>
              <w:t>6CPA</w:t>
            </w:r>
          </w:p>
        </w:tc>
        <w:tc>
          <w:tcPr>
            <w:tcW w:w="5513" w:type="dxa"/>
          </w:tcPr>
          <w:p w14:paraId="727DFEC9" w14:textId="77777777" w:rsidR="00AA36A0" w:rsidRDefault="00AA36A0" w:rsidP="00AA36A0">
            <w:pPr>
              <w:pStyle w:val="Abbreviations2definition"/>
              <w:cnfStyle w:val="000000000000" w:firstRow="0" w:lastRow="0" w:firstColumn="0" w:lastColumn="0" w:oddVBand="0" w:evenVBand="0" w:oddHBand="0" w:evenHBand="0" w:firstRowFirstColumn="0" w:firstRowLastColumn="0" w:lastRowFirstColumn="0" w:lastRowLastColumn="0"/>
            </w:pPr>
            <w:r w:rsidRPr="00E00D3A">
              <w:t>Sixth Community Pharmacy Agreement</w:t>
            </w:r>
          </w:p>
        </w:tc>
      </w:tr>
      <w:tr w:rsidR="00C21B40" w14:paraId="2AF3CA09" w14:textId="77777777" w:rsidTr="00197882">
        <w:tc>
          <w:tcPr>
            <w:cnfStyle w:val="001000000000" w:firstRow="0" w:lastRow="0" w:firstColumn="1" w:lastColumn="0" w:oddVBand="0" w:evenVBand="0" w:oddHBand="0" w:evenHBand="0" w:firstRowFirstColumn="0" w:firstRowLastColumn="0" w:lastRowFirstColumn="0" w:lastRowLastColumn="0"/>
            <w:tcW w:w="1532" w:type="dxa"/>
          </w:tcPr>
          <w:p w14:paraId="7C89746F" w14:textId="120E290D" w:rsidR="00C21B40" w:rsidRDefault="00C21B40" w:rsidP="0048517E">
            <w:pPr>
              <w:pStyle w:val="Abbreviations1"/>
            </w:pPr>
            <w:r>
              <w:t>AACP</w:t>
            </w:r>
          </w:p>
        </w:tc>
        <w:tc>
          <w:tcPr>
            <w:tcW w:w="5513" w:type="dxa"/>
          </w:tcPr>
          <w:p w14:paraId="4044D031" w14:textId="1791291F" w:rsidR="00C21B40" w:rsidRPr="00E00D3A" w:rsidRDefault="00C21B40" w:rsidP="0048517E">
            <w:pPr>
              <w:pStyle w:val="Abbreviations2definition"/>
              <w:cnfStyle w:val="000000000000" w:firstRow="0" w:lastRow="0" w:firstColumn="0" w:lastColumn="0" w:oddVBand="0" w:evenVBand="0" w:oddHBand="0" w:evenHBand="0" w:firstRowFirstColumn="0" w:firstRowLastColumn="0" w:lastRowFirstColumn="0" w:lastRowLastColumn="0"/>
            </w:pPr>
            <w:r>
              <w:t>Australian Association of Consultant Pharmacists</w:t>
            </w:r>
          </w:p>
        </w:tc>
      </w:tr>
      <w:tr w:rsidR="00121EBA" w14:paraId="2BBA5A5E" w14:textId="77777777" w:rsidTr="00197882">
        <w:tc>
          <w:tcPr>
            <w:cnfStyle w:val="001000000000" w:firstRow="0" w:lastRow="0" w:firstColumn="1" w:lastColumn="0" w:oddVBand="0" w:evenVBand="0" w:oddHBand="0" w:evenHBand="0" w:firstRowFirstColumn="0" w:firstRowLastColumn="0" w:lastRowFirstColumn="0" w:lastRowLastColumn="0"/>
            <w:tcW w:w="1532" w:type="dxa"/>
          </w:tcPr>
          <w:p w14:paraId="634BB2E6" w14:textId="53EFAB0A" w:rsidR="00121EBA" w:rsidRDefault="00121EBA" w:rsidP="0048517E">
            <w:pPr>
              <w:pStyle w:val="Abbreviations1"/>
            </w:pPr>
            <w:r>
              <w:t>ACC</w:t>
            </w:r>
            <w:r w:rsidR="007D6D4A">
              <w:t>HO</w:t>
            </w:r>
          </w:p>
        </w:tc>
        <w:tc>
          <w:tcPr>
            <w:tcW w:w="5513" w:type="dxa"/>
          </w:tcPr>
          <w:p w14:paraId="6A1B1325" w14:textId="057EFADB" w:rsidR="00121EBA" w:rsidRDefault="007D6D4A" w:rsidP="0048517E">
            <w:pPr>
              <w:pStyle w:val="Abbreviations2definition"/>
              <w:cnfStyle w:val="000000000000" w:firstRow="0" w:lastRow="0" w:firstColumn="0" w:lastColumn="0" w:oddVBand="0" w:evenVBand="0" w:oddHBand="0" w:evenHBand="0" w:firstRowFirstColumn="0" w:firstRowLastColumn="0" w:lastRowFirstColumn="0" w:lastRowLastColumn="0"/>
            </w:pPr>
            <w:r>
              <w:t>Aboriginal Community Controlled Health Organisations</w:t>
            </w:r>
          </w:p>
        </w:tc>
      </w:tr>
      <w:tr w:rsidR="002B61B9" w14:paraId="0A59E908" w14:textId="77777777" w:rsidTr="00197882">
        <w:tc>
          <w:tcPr>
            <w:cnfStyle w:val="001000000000" w:firstRow="0" w:lastRow="0" w:firstColumn="1" w:lastColumn="0" w:oddVBand="0" w:evenVBand="0" w:oddHBand="0" w:evenHBand="0" w:firstRowFirstColumn="0" w:firstRowLastColumn="0" w:lastRowFirstColumn="0" w:lastRowLastColumn="0"/>
            <w:tcW w:w="1532" w:type="dxa"/>
          </w:tcPr>
          <w:p w14:paraId="128DC7DF" w14:textId="780B92DB" w:rsidR="002B61B9" w:rsidRDefault="002E50F9" w:rsidP="00FF09BD">
            <w:pPr>
              <w:pStyle w:val="Abbreviations1"/>
            </w:pPr>
            <w:r>
              <w:t>AGSC-RA</w:t>
            </w:r>
          </w:p>
        </w:tc>
        <w:tc>
          <w:tcPr>
            <w:tcW w:w="5513" w:type="dxa"/>
          </w:tcPr>
          <w:p w14:paraId="64396EBB" w14:textId="62E83A20" w:rsidR="002B61B9" w:rsidRDefault="002E50F9" w:rsidP="00C116B9">
            <w:pPr>
              <w:pStyle w:val="Abbreviations2definition"/>
              <w:cnfStyle w:val="000000000000" w:firstRow="0" w:lastRow="0" w:firstColumn="0" w:lastColumn="0" w:oddVBand="0" w:evenVBand="0" w:oddHBand="0" w:evenHBand="0" w:firstRowFirstColumn="0" w:firstRowLastColumn="0" w:lastRowFirstColumn="0" w:lastRowLastColumn="0"/>
            </w:pPr>
            <w:r>
              <w:t>Australian Geographic Standard Classification – Remoteness Areas</w:t>
            </w:r>
          </w:p>
        </w:tc>
      </w:tr>
      <w:tr w:rsidR="002B61B9" w14:paraId="02BF9C95" w14:textId="77777777" w:rsidTr="00197882">
        <w:tc>
          <w:tcPr>
            <w:cnfStyle w:val="001000000000" w:firstRow="0" w:lastRow="0" w:firstColumn="1" w:lastColumn="0" w:oddVBand="0" w:evenVBand="0" w:oddHBand="0" w:evenHBand="0" w:firstRowFirstColumn="0" w:firstRowLastColumn="0" w:lastRowFirstColumn="0" w:lastRowLastColumn="0"/>
            <w:tcW w:w="1532" w:type="dxa"/>
          </w:tcPr>
          <w:p w14:paraId="364D9D5E" w14:textId="4791B65C" w:rsidR="002B61B9" w:rsidRDefault="002E50F9" w:rsidP="00FF09BD">
            <w:pPr>
              <w:pStyle w:val="Abbreviations1"/>
            </w:pPr>
            <w:r>
              <w:t>AHPRA</w:t>
            </w:r>
          </w:p>
        </w:tc>
        <w:tc>
          <w:tcPr>
            <w:tcW w:w="5513" w:type="dxa"/>
          </w:tcPr>
          <w:p w14:paraId="5A9AE13C" w14:textId="3EF7C6E2" w:rsidR="002B61B9" w:rsidRDefault="00F675CF" w:rsidP="00C116B9">
            <w:pPr>
              <w:pStyle w:val="Abbreviations2definition"/>
              <w:cnfStyle w:val="000000000000" w:firstRow="0" w:lastRow="0" w:firstColumn="0" w:lastColumn="0" w:oddVBand="0" w:evenVBand="0" w:oddHBand="0" w:evenHBand="0" w:firstRowFirstColumn="0" w:firstRowLastColumn="0" w:lastRowFirstColumn="0" w:lastRowLastColumn="0"/>
            </w:pPr>
            <w:r>
              <w:t>Australian Health Practitioner Regulation Agency</w:t>
            </w:r>
          </w:p>
        </w:tc>
      </w:tr>
      <w:tr w:rsidR="002B61B9" w14:paraId="13FCC746" w14:textId="77777777" w:rsidTr="00197882">
        <w:tc>
          <w:tcPr>
            <w:cnfStyle w:val="001000000000" w:firstRow="0" w:lastRow="0" w:firstColumn="1" w:lastColumn="0" w:oddVBand="0" w:evenVBand="0" w:oddHBand="0" w:evenHBand="0" w:firstRowFirstColumn="0" w:firstRowLastColumn="0" w:lastRowFirstColumn="0" w:lastRowLastColumn="0"/>
            <w:tcW w:w="1532" w:type="dxa"/>
          </w:tcPr>
          <w:p w14:paraId="0BE6B52F" w14:textId="58F0C2B8" w:rsidR="002B61B9" w:rsidRDefault="002E50F9" w:rsidP="00FF09BD">
            <w:pPr>
              <w:pStyle w:val="Abbreviations1"/>
            </w:pPr>
            <w:r>
              <w:t>ARHEN</w:t>
            </w:r>
          </w:p>
        </w:tc>
        <w:tc>
          <w:tcPr>
            <w:tcW w:w="5513" w:type="dxa"/>
          </w:tcPr>
          <w:p w14:paraId="2CC17045" w14:textId="0D41EB7C" w:rsidR="002B61B9" w:rsidRDefault="002E50F9" w:rsidP="00C116B9">
            <w:pPr>
              <w:pStyle w:val="Abbreviations2definition"/>
              <w:cnfStyle w:val="000000000000" w:firstRow="0" w:lastRow="0" w:firstColumn="0" w:lastColumn="0" w:oddVBand="0" w:evenVBand="0" w:oddHBand="0" w:evenHBand="0" w:firstRowFirstColumn="0" w:firstRowLastColumn="0" w:lastRowFirstColumn="0" w:lastRowLastColumn="0"/>
            </w:pPr>
            <w:r>
              <w:t>Australian Rural Health Education Network</w:t>
            </w:r>
          </w:p>
        </w:tc>
      </w:tr>
      <w:tr w:rsidR="002B61B9" w14:paraId="7914D251" w14:textId="77777777" w:rsidTr="00197882">
        <w:tc>
          <w:tcPr>
            <w:cnfStyle w:val="001000000000" w:firstRow="0" w:lastRow="0" w:firstColumn="1" w:lastColumn="0" w:oddVBand="0" w:evenVBand="0" w:oddHBand="0" w:evenHBand="0" w:firstRowFirstColumn="0" w:firstRowLastColumn="0" w:lastRowFirstColumn="0" w:lastRowLastColumn="0"/>
            <w:tcW w:w="1532" w:type="dxa"/>
          </w:tcPr>
          <w:p w14:paraId="15F98B14" w14:textId="450080B7" w:rsidR="002B61B9" w:rsidRDefault="002E50F9" w:rsidP="00FF09BD">
            <w:pPr>
              <w:pStyle w:val="Abbreviations1"/>
            </w:pPr>
            <w:r>
              <w:t>BMP</w:t>
            </w:r>
          </w:p>
        </w:tc>
        <w:tc>
          <w:tcPr>
            <w:tcW w:w="5513" w:type="dxa"/>
          </w:tcPr>
          <w:p w14:paraId="21594766" w14:textId="6456FEDB" w:rsidR="002B61B9" w:rsidRDefault="00F675CF" w:rsidP="00C116B9">
            <w:pPr>
              <w:pStyle w:val="Abbreviations2definition"/>
              <w:cnfStyle w:val="000000000000" w:firstRow="0" w:lastRow="0" w:firstColumn="0" w:lastColumn="0" w:oddVBand="0" w:evenVBand="0" w:oddHBand="0" w:evenHBand="0" w:firstRowFirstColumn="0" w:firstRowLastColumn="0" w:lastRowFirstColumn="0" w:lastRowLastColumn="0"/>
            </w:pPr>
            <w:r>
              <w:t>Bonded Medical Places</w:t>
            </w:r>
          </w:p>
        </w:tc>
      </w:tr>
      <w:tr w:rsidR="00C21B40" w14:paraId="4CEB2F7C" w14:textId="77777777" w:rsidTr="00197882">
        <w:tc>
          <w:tcPr>
            <w:cnfStyle w:val="001000000000" w:firstRow="0" w:lastRow="0" w:firstColumn="1" w:lastColumn="0" w:oddVBand="0" w:evenVBand="0" w:oddHBand="0" w:evenHBand="0" w:firstRowFirstColumn="0" w:firstRowLastColumn="0" w:lastRowFirstColumn="0" w:lastRowLastColumn="0"/>
            <w:tcW w:w="1532" w:type="dxa"/>
          </w:tcPr>
          <w:p w14:paraId="32FBA745" w14:textId="4FC02891" w:rsidR="00C21B40" w:rsidRDefault="00C21B40" w:rsidP="00FF09BD">
            <w:pPr>
              <w:pStyle w:val="Abbreviations1"/>
            </w:pPr>
            <w:r>
              <w:t>CHF</w:t>
            </w:r>
          </w:p>
        </w:tc>
        <w:tc>
          <w:tcPr>
            <w:tcW w:w="5513" w:type="dxa"/>
          </w:tcPr>
          <w:p w14:paraId="7B4CD097" w14:textId="53676B67" w:rsidR="00C21B40" w:rsidRDefault="00C21B40" w:rsidP="00C116B9">
            <w:pPr>
              <w:pStyle w:val="Abbreviations2definition"/>
              <w:cnfStyle w:val="000000000000" w:firstRow="0" w:lastRow="0" w:firstColumn="0" w:lastColumn="0" w:oddVBand="0" w:evenVBand="0" w:oddHBand="0" w:evenHBand="0" w:firstRowFirstColumn="0" w:firstRowLastColumn="0" w:lastRowFirstColumn="0" w:lastRowLastColumn="0"/>
            </w:pPr>
            <w:r>
              <w:t>Consumers Health Forum of Australia</w:t>
            </w:r>
          </w:p>
        </w:tc>
      </w:tr>
      <w:tr w:rsidR="002B61B9" w14:paraId="1F823E33" w14:textId="77777777" w:rsidTr="00197882">
        <w:tc>
          <w:tcPr>
            <w:cnfStyle w:val="001000000000" w:firstRow="0" w:lastRow="0" w:firstColumn="1" w:lastColumn="0" w:oddVBand="0" w:evenVBand="0" w:oddHBand="0" w:evenHBand="0" w:firstRowFirstColumn="0" w:firstRowLastColumn="0" w:lastRowFirstColumn="0" w:lastRowLastColumn="0"/>
            <w:tcW w:w="1532" w:type="dxa"/>
          </w:tcPr>
          <w:p w14:paraId="2ED56B75" w14:textId="38245C58" w:rsidR="002B61B9" w:rsidRDefault="002E50F9" w:rsidP="00FF09BD">
            <w:pPr>
              <w:pStyle w:val="Abbreviations1"/>
            </w:pPr>
            <w:r>
              <w:t>CPD</w:t>
            </w:r>
          </w:p>
        </w:tc>
        <w:tc>
          <w:tcPr>
            <w:tcW w:w="5513" w:type="dxa"/>
          </w:tcPr>
          <w:p w14:paraId="4C882F0F" w14:textId="10B505C5" w:rsidR="002B61B9" w:rsidRDefault="002E50F9" w:rsidP="00C116B9">
            <w:pPr>
              <w:pStyle w:val="Abbreviations2definition"/>
              <w:cnfStyle w:val="000000000000" w:firstRow="0" w:lastRow="0" w:firstColumn="0" w:lastColumn="0" w:oddVBand="0" w:evenVBand="0" w:oddHBand="0" w:evenHBand="0" w:firstRowFirstColumn="0" w:firstRowLastColumn="0" w:lastRowFirstColumn="0" w:lastRowLastColumn="0"/>
            </w:pPr>
            <w:r>
              <w:t>Continuing Professional Development</w:t>
            </w:r>
          </w:p>
        </w:tc>
      </w:tr>
      <w:tr w:rsidR="002B61B9" w14:paraId="338EC982" w14:textId="77777777" w:rsidTr="00197882">
        <w:tc>
          <w:tcPr>
            <w:cnfStyle w:val="001000000000" w:firstRow="0" w:lastRow="0" w:firstColumn="1" w:lastColumn="0" w:oddVBand="0" w:evenVBand="0" w:oddHBand="0" w:evenHBand="0" w:firstRowFirstColumn="0" w:firstRowLastColumn="0" w:lastRowFirstColumn="0" w:lastRowLastColumn="0"/>
            <w:tcW w:w="1532" w:type="dxa"/>
          </w:tcPr>
          <w:p w14:paraId="6298E5A5" w14:textId="58B5D1ED" w:rsidR="002B61B9" w:rsidRDefault="002E50F9" w:rsidP="00FF09BD">
            <w:pPr>
              <w:pStyle w:val="Abbreviations1"/>
            </w:pPr>
            <w:r>
              <w:t>CPE</w:t>
            </w:r>
          </w:p>
        </w:tc>
        <w:tc>
          <w:tcPr>
            <w:tcW w:w="5513" w:type="dxa"/>
          </w:tcPr>
          <w:p w14:paraId="1EAED0D9" w14:textId="28ABBD7B" w:rsidR="002B61B9" w:rsidRDefault="002E50F9" w:rsidP="00C116B9">
            <w:pPr>
              <w:pStyle w:val="Abbreviations2definition"/>
              <w:cnfStyle w:val="000000000000" w:firstRow="0" w:lastRow="0" w:firstColumn="0" w:lastColumn="0" w:oddVBand="0" w:evenVBand="0" w:oddHBand="0" w:evenHBand="0" w:firstRowFirstColumn="0" w:firstRowLastColumn="0" w:lastRowFirstColumn="0" w:lastRowLastColumn="0"/>
            </w:pPr>
            <w:r>
              <w:t>Continuing Professional Education</w:t>
            </w:r>
          </w:p>
        </w:tc>
      </w:tr>
      <w:tr w:rsidR="0048517E" w14:paraId="2A04B8C2" w14:textId="77777777" w:rsidTr="00197882">
        <w:tc>
          <w:tcPr>
            <w:cnfStyle w:val="001000000000" w:firstRow="0" w:lastRow="0" w:firstColumn="1" w:lastColumn="0" w:oddVBand="0" w:evenVBand="0" w:oddHBand="0" w:evenHBand="0" w:firstRowFirstColumn="0" w:firstRowLastColumn="0" w:lastRowFirstColumn="0" w:lastRowLastColumn="0"/>
            <w:tcW w:w="1532" w:type="dxa"/>
          </w:tcPr>
          <w:p w14:paraId="739F3FC6" w14:textId="4059DE1D" w:rsidR="0048517E" w:rsidRDefault="0048517E" w:rsidP="00FF09BD">
            <w:pPr>
              <w:pStyle w:val="Abbreviations1"/>
            </w:pPr>
            <w:r>
              <w:t>Department, The</w:t>
            </w:r>
          </w:p>
        </w:tc>
        <w:tc>
          <w:tcPr>
            <w:tcW w:w="5513" w:type="dxa"/>
          </w:tcPr>
          <w:p w14:paraId="3F5E919B" w14:textId="179E3014" w:rsidR="0048517E" w:rsidRDefault="0048517E" w:rsidP="00C116B9">
            <w:pPr>
              <w:pStyle w:val="Abbreviations2definition"/>
              <w:cnfStyle w:val="000000000000" w:firstRow="0" w:lastRow="0" w:firstColumn="0" w:lastColumn="0" w:oddVBand="0" w:evenVBand="0" w:oddHBand="0" w:evenHBand="0" w:firstRowFirstColumn="0" w:firstRowLastColumn="0" w:lastRowFirstColumn="0" w:lastRowLastColumn="0"/>
            </w:pPr>
            <w:r>
              <w:t>The Australian Government Department of Health</w:t>
            </w:r>
          </w:p>
        </w:tc>
      </w:tr>
      <w:tr w:rsidR="002B61B9" w14:paraId="6656E063" w14:textId="77777777" w:rsidTr="00197882">
        <w:tc>
          <w:tcPr>
            <w:cnfStyle w:val="001000000000" w:firstRow="0" w:lastRow="0" w:firstColumn="1" w:lastColumn="0" w:oddVBand="0" w:evenVBand="0" w:oddHBand="0" w:evenHBand="0" w:firstRowFirstColumn="0" w:firstRowLastColumn="0" w:lastRowFirstColumn="0" w:lastRowLastColumn="0"/>
            <w:tcW w:w="1532" w:type="dxa"/>
          </w:tcPr>
          <w:p w14:paraId="07D54E4E" w14:textId="1671D872" w:rsidR="002B61B9" w:rsidRDefault="002E50F9" w:rsidP="00FF09BD">
            <w:pPr>
              <w:pStyle w:val="Abbreviations1"/>
            </w:pPr>
            <w:r>
              <w:t>ELS</w:t>
            </w:r>
          </w:p>
        </w:tc>
        <w:tc>
          <w:tcPr>
            <w:tcW w:w="5513" w:type="dxa"/>
          </w:tcPr>
          <w:p w14:paraId="1D29C427" w14:textId="6094021E" w:rsidR="002B61B9" w:rsidRDefault="00F675CF" w:rsidP="00C116B9">
            <w:pPr>
              <w:pStyle w:val="Abbreviations2definition"/>
              <w:cnfStyle w:val="000000000000" w:firstRow="0" w:lastRow="0" w:firstColumn="0" w:lastColumn="0" w:oddVBand="0" w:evenVBand="0" w:oddHBand="0" w:evenHBand="0" w:firstRowFirstColumn="0" w:firstRowLastColumn="0" w:lastRowFirstColumn="0" w:lastRowLastColumn="0"/>
            </w:pPr>
            <w:r>
              <w:t>Emergency Locum Service</w:t>
            </w:r>
          </w:p>
        </w:tc>
      </w:tr>
      <w:tr w:rsidR="002B61B9" w14:paraId="6DDBCA6E" w14:textId="77777777" w:rsidTr="00197882">
        <w:tc>
          <w:tcPr>
            <w:cnfStyle w:val="001000000000" w:firstRow="0" w:lastRow="0" w:firstColumn="1" w:lastColumn="0" w:oddVBand="0" w:evenVBand="0" w:oddHBand="0" w:evenHBand="0" w:firstRowFirstColumn="0" w:firstRowLastColumn="0" w:lastRowFirstColumn="0" w:lastRowLastColumn="0"/>
            <w:tcW w:w="1532" w:type="dxa"/>
          </w:tcPr>
          <w:p w14:paraId="2DEB1619" w14:textId="465C3E2A" w:rsidR="002B61B9" w:rsidRDefault="002E50F9" w:rsidP="00FF09BD">
            <w:pPr>
              <w:pStyle w:val="Abbreviations1"/>
            </w:pPr>
            <w:r>
              <w:t>FOMSS</w:t>
            </w:r>
          </w:p>
        </w:tc>
        <w:tc>
          <w:tcPr>
            <w:tcW w:w="5513" w:type="dxa"/>
          </w:tcPr>
          <w:p w14:paraId="2EBB98A5" w14:textId="2830AC0A" w:rsidR="002B61B9" w:rsidRDefault="00F675CF" w:rsidP="00C116B9">
            <w:pPr>
              <w:pStyle w:val="Abbreviations2definition"/>
              <w:cnfStyle w:val="000000000000" w:firstRow="0" w:lastRow="0" w:firstColumn="0" w:lastColumn="0" w:oddVBand="0" w:evenVBand="0" w:oddHBand="0" w:evenHBand="0" w:firstRowFirstColumn="0" w:firstRowLastColumn="0" w:lastRowFirstColumn="0" w:lastRowLastColumn="0"/>
            </w:pPr>
            <w:r>
              <w:t xml:space="preserve">Friends of </w:t>
            </w:r>
            <w:proofErr w:type="spellStart"/>
            <w:r w:rsidRPr="00DF68EB">
              <w:t>Mosveld</w:t>
            </w:r>
            <w:proofErr w:type="spellEnd"/>
            <w:r w:rsidRPr="00DF68EB">
              <w:t xml:space="preserve"> Scholarship Scheme</w:t>
            </w:r>
          </w:p>
        </w:tc>
      </w:tr>
      <w:tr w:rsidR="002E50F9" w14:paraId="34EF8149" w14:textId="77777777" w:rsidTr="00197882">
        <w:tc>
          <w:tcPr>
            <w:cnfStyle w:val="001000000000" w:firstRow="0" w:lastRow="0" w:firstColumn="1" w:lastColumn="0" w:oddVBand="0" w:evenVBand="0" w:oddHBand="0" w:evenHBand="0" w:firstRowFirstColumn="0" w:firstRowLastColumn="0" w:lastRowFirstColumn="0" w:lastRowLastColumn="0"/>
            <w:tcW w:w="1532" w:type="dxa"/>
          </w:tcPr>
          <w:p w14:paraId="67F1BF91" w14:textId="6D2D8062" w:rsidR="002E50F9" w:rsidRDefault="002E50F9" w:rsidP="00FF09BD">
            <w:pPr>
              <w:pStyle w:val="Abbreviations1"/>
            </w:pPr>
            <w:r>
              <w:t>Guild, The</w:t>
            </w:r>
          </w:p>
        </w:tc>
        <w:tc>
          <w:tcPr>
            <w:tcW w:w="5513" w:type="dxa"/>
          </w:tcPr>
          <w:p w14:paraId="404F1543" w14:textId="01EBC64F" w:rsidR="002E50F9" w:rsidRDefault="00F675CF" w:rsidP="00C116B9">
            <w:pPr>
              <w:pStyle w:val="Abbreviations2definition"/>
              <w:cnfStyle w:val="000000000000" w:firstRow="0" w:lastRow="0" w:firstColumn="0" w:lastColumn="0" w:oddVBand="0" w:evenVBand="0" w:oddHBand="0" w:evenHBand="0" w:firstRowFirstColumn="0" w:firstRowLastColumn="0" w:lastRowFirstColumn="0" w:lastRowLastColumn="0"/>
            </w:pPr>
            <w:r>
              <w:t>The Pharmacy Guild of Australia</w:t>
            </w:r>
          </w:p>
        </w:tc>
      </w:tr>
      <w:tr w:rsidR="0048517E" w14:paraId="01A44A93" w14:textId="77777777" w:rsidTr="00197882">
        <w:tc>
          <w:tcPr>
            <w:cnfStyle w:val="001000000000" w:firstRow="0" w:lastRow="0" w:firstColumn="1" w:lastColumn="0" w:oddVBand="0" w:evenVBand="0" w:oddHBand="0" w:evenHBand="0" w:firstRowFirstColumn="0" w:firstRowLastColumn="0" w:lastRowFirstColumn="0" w:lastRowLastColumn="0"/>
            <w:tcW w:w="1532" w:type="dxa"/>
          </w:tcPr>
          <w:p w14:paraId="7B6C117C" w14:textId="7502FBA1" w:rsidR="0048517E" w:rsidRDefault="0048517E" w:rsidP="00FF09BD">
            <w:pPr>
              <w:pStyle w:val="Abbreviations1"/>
            </w:pPr>
            <w:r>
              <w:t>HMA</w:t>
            </w:r>
          </w:p>
        </w:tc>
        <w:tc>
          <w:tcPr>
            <w:tcW w:w="5513" w:type="dxa"/>
          </w:tcPr>
          <w:p w14:paraId="7BE7AB51" w14:textId="08A57288" w:rsidR="0048517E" w:rsidRDefault="0048517E" w:rsidP="00C116B9">
            <w:pPr>
              <w:pStyle w:val="Abbreviations2definition"/>
              <w:cnfStyle w:val="000000000000" w:firstRow="0" w:lastRow="0" w:firstColumn="0" w:lastColumn="0" w:oddVBand="0" w:evenVBand="0" w:oddHBand="0" w:evenHBand="0" w:firstRowFirstColumn="0" w:firstRowLastColumn="0" w:lastRowFirstColumn="0" w:lastRowLastColumn="0"/>
            </w:pPr>
            <w:r>
              <w:t>Healthcare Management Advisors</w:t>
            </w:r>
          </w:p>
        </w:tc>
      </w:tr>
      <w:tr w:rsidR="002B61B9" w14:paraId="4D26D2DB" w14:textId="77777777" w:rsidTr="00197882">
        <w:tc>
          <w:tcPr>
            <w:cnfStyle w:val="001000000000" w:firstRow="0" w:lastRow="0" w:firstColumn="1" w:lastColumn="0" w:oddVBand="0" w:evenVBand="0" w:oddHBand="0" w:evenHBand="0" w:firstRowFirstColumn="0" w:firstRowLastColumn="0" w:lastRowFirstColumn="0" w:lastRowLastColumn="0"/>
            <w:tcW w:w="1532" w:type="dxa"/>
          </w:tcPr>
          <w:p w14:paraId="23F1CBA8" w14:textId="6740B09E" w:rsidR="002B61B9" w:rsidRDefault="002E50F9" w:rsidP="00FF09BD">
            <w:pPr>
              <w:pStyle w:val="Abbreviations1"/>
            </w:pPr>
            <w:r>
              <w:t>IIARP</w:t>
            </w:r>
          </w:p>
        </w:tc>
        <w:tc>
          <w:tcPr>
            <w:tcW w:w="5513" w:type="dxa"/>
          </w:tcPr>
          <w:p w14:paraId="0E1EC2E0" w14:textId="4C784A3A" w:rsidR="002B61B9" w:rsidRDefault="00086029" w:rsidP="00C116B9">
            <w:pPr>
              <w:pStyle w:val="Abbreviations2definition"/>
              <w:cnfStyle w:val="000000000000" w:firstRow="0" w:lastRow="0" w:firstColumn="0" w:lastColumn="0" w:oddVBand="0" w:evenVBand="0" w:oddHBand="0" w:evenHBand="0" w:firstRowFirstColumn="0" w:firstRowLastColumn="0" w:lastRowFirstColumn="0" w:lastRowLastColumn="0"/>
            </w:pPr>
            <w:r>
              <w:t>Intern Incentive Allowance for Rural Pharmacies</w:t>
            </w:r>
          </w:p>
        </w:tc>
      </w:tr>
      <w:tr w:rsidR="002B61B9" w14:paraId="134EEC00" w14:textId="77777777" w:rsidTr="00197882">
        <w:tc>
          <w:tcPr>
            <w:cnfStyle w:val="001000000000" w:firstRow="0" w:lastRow="0" w:firstColumn="1" w:lastColumn="0" w:oddVBand="0" w:evenVBand="0" w:oddHBand="0" w:evenHBand="0" w:firstRowFirstColumn="0" w:firstRowLastColumn="0" w:lastRowFirstColumn="0" w:lastRowLastColumn="0"/>
            <w:tcW w:w="1532" w:type="dxa"/>
          </w:tcPr>
          <w:p w14:paraId="65740056" w14:textId="308E3E0B" w:rsidR="002B61B9" w:rsidRDefault="002E50F9" w:rsidP="00FF09BD">
            <w:pPr>
              <w:pStyle w:val="Abbreviations1"/>
            </w:pPr>
            <w:r>
              <w:t>IIARP-EP</w:t>
            </w:r>
          </w:p>
        </w:tc>
        <w:tc>
          <w:tcPr>
            <w:tcW w:w="5513" w:type="dxa"/>
          </w:tcPr>
          <w:p w14:paraId="2E3DC8D9" w14:textId="0E75A88A" w:rsidR="002B61B9" w:rsidRDefault="00086029" w:rsidP="00C116B9">
            <w:pPr>
              <w:pStyle w:val="Abbreviations2definition"/>
              <w:cnfStyle w:val="000000000000" w:firstRow="0" w:lastRow="0" w:firstColumn="0" w:lastColumn="0" w:oddVBand="0" w:evenVBand="0" w:oddHBand="0" w:evenHBand="0" w:firstRowFirstColumn="0" w:firstRowLastColumn="0" w:lastRowFirstColumn="0" w:lastRowLastColumn="0"/>
            </w:pPr>
            <w:r>
              <w:t>Intern Incentive Allowance for Rural Pharmacies Extension Program</w:t>
            </w:r>
          </w:p>
        </w:tc>
      </w:tr>
      <w:tr w:rsidR="00C21B40" w14:paraId="5E56AC8F" w14:textId="77777777" w:rsidTr="00197882">
        <w:tc>
          <w:tcPr>
            <w:cnfStyle w:val="001000000000" w:firstRow="0" w:lastRow="0" w:firstColumn="1" w:lastColumn="0" w:oddVBand="0" w:evenVBand="0" w:oddHBand="0" w:evenHBand="0" w:firstRowFirstColumn="0" w:firstRowLastColumn="0" w:lastRowFirstColumn="0" w:lastRowLastColumn="0"/>
            <w:tcW w:w="1532" w:type="dxa"/>
          </w:tcPr>
          <w:p w14:paraId="1950BCA9" w14:textId="05B8A70F" w:rsidR="00C21B40" w:rsidRDefault="00C21B40" w:rsidP="00FF09BD">
            <w:pPr>
              <w:pStyle w:val="Abbreviations1"/>
            </w:pPr>
            <w:r>
              <w:t>NACCHO</w:t>
            </w:r>
          </w:p>
        </w:tc>
        <w:tc>
          <w:tcPr>
            <w:tcW w:w="5513" w:type="dxa"/>
          </w:tcPr>
          <w:p w14:paraId="49626201" w14:textId="6F875F58" w:rsidR="00C21B40" w:rsidRPr="00BD5028" w:rsidRDefault="00C21B40" w:rsidP="00C116B9">
            <w:pPr>
              <w:pStyle w:val="Abbreviations2definition"/>
              <w:cnfStyle w:val="000000000000" w:firstRow="0" w:lastRow="0" w:firstColumn="0" w:lastColumn="0" w:oddVBand="0" w:evenVBand="0" w:oddHBand="0" w:evenHBand="0" w:firstRowFirstColumn="0" w:firstRowLastColumn="0" w:lastRowFirstColumn="0" w:lastRowLastColumn="0"/>
            </w:pPr>
            <w:r>
              <w:t>National Aboriginal Community-Controlled Health Organisation</w:t>
            </w:r>
          </w:p>
        </w:tc>
      </w:tr>
      <w:tr w:rsidR="00F675CF" w14:paraId="15B5A6C6" w14:textId="77777777" w:rsidTr="00197882">
        <w:tc>
          <w:tcPr>
            <w:cnfStyle w:val="001000000000" w:firstRow="0" w:lastRow="0" w:firstColumn="1" w:lastColumn="0" w:oddVBand="0" w:evenVBand="0" w:oddHBand="0" w:evenHBand="0" w:firstRowFirstColumn="0" w:firstRowLastColumn="0" w:lastRowFirstColumn="0" w:lastRowLastColumn="0"/>
            <w:tcW w:w="1532" w:type="dxa"/>
          </w:tcPr>
          <w:p w14:paraId="191398BB" w14:textId="3DB243C3" w:rsidR="00F675CF" w:rsidRDefault="00F675CF" w:rsidP="00FF09BD">
            <w:pPr>
              <w:pStyle w:val="Abbreviations1"/>
            </w:pPr>
            <w:r>
              <w:t>NAHSSS</w:t>
            </w:r>
          </w:p>
        </w:tc>
        <w:tc>
          <w:tcPr>
            <w:tcW w:w="5513" w:type="dxa"/>
          </w:tcPr>
          <w:p w14:paraId="1FD6FD07" w14:textId="2B186517" w:rsidR="00F675CF" w:rsidRDefault="00F675CF" w:rsidP="00C116B9">
            <w:pPr>
              <w:pStyle w:val="Abbreviations2definition"/>
              <w:cnfStyle w:val="000000000000" w:firstRow="0" w:lastRow="0" w:firstColumn="0" w:lastColumn="0" w:oddVBand="0" w:evenVBand="0" w:oddHBand="0" w:evenHBand="0" w:firstRowFirstColumn="0" w:firstRowLastColumn="0" w:lastRowFirstColumn="0" w:lastRowLastColumn="0"/>
            </w:pPr>
            <w:r w:rsidRPr="00BD5028">
              <w:t>Nursing and Allied Health Scholarship and Support Scheme</w:t>
            </w:r>
          </w:p>
        </w:tc>
      </w:tr>
      <w:tr w:rsidR="002B61B9" w14:paraId="6D9334C6" w14:textId="77777777" w:rsidTr="00197882">
        <w:tc>
          <w:tcPr>
            <w:cnfStyle w:val="001000000000" w:firstRow="0" w:lastRow="0" w:firstColumn="1" w:lastColumn="0" w:oddVBand="0" w:evenVBand="0" w:oddHBand="0" w:evenHBand="0" w:firstRowFirstColumn="0" w:firstRowLastColumn="0" w:lastRowFirstColumn="0" w:lastRowLastColumn="0"/>
            <w:tcW w:w="1532" w:type="dxa"/>
          </w:tcPr>
          <w:p w14:paraId="55C07432" w14:textId="7AB8C976" w:rsidR="002B61B9" w:rsidRDefault="002E50F9" w:rsidP="00FF09BD">
            <w:pPr>
              <w:pStyle w:val="Abbreviations1"/>
            </w:pPr>
            <w:proofErr w:type="spellStart"/>
            <w:r>
              <w:t>PhARIA</w:t>
            </w:r>
            <w:proofErr w:type="spellEnd"/>
          </w:p>
        </w:tc>
        <w:tc>
          <w:tcPr>
            <w:tcW w:w="5513" w:type="dxa"/>
          </w:tcPr>
          <w:p w14:paraId="533684D8" w14:textId="20FCB959" w:rsidR="002B61B9" w:rsidRDefault="002E50F9" w:rsidP="00C116B9">
            <w:pPr>
              <w:pStyle w:val="Abbreviations2definition"/>
              <w:cnfStyle w:val="000000000000" w:firstRow="0" w:lastRow="0" w:firstColumn="0" w:lastColumn="0" w:oddVBand="0" w:evenVBand="0" w:oddHBand="0" w:evenHBand="0" w:firstRowFirstColumn="0" w:firstRowLastColumn="0" w:lastRowFirstColumn="0" w:lastRowLastColumn="0"/>
            </w:pPr>
            <w:r>
              <w:t>Pharmacy Access / Remoteness Index of Australia</w:t>
            </w:r>
          </w:p>
        </w:tc>
      </w:tr>
      <w:tr w:rsidR="00C21B40" w14:paraId="1484B241" w14:textId="77777777" w:rsidTr="00197882">
        <w:tc>
          <w:tcPr>
            <w:cnfStyle w:val="001000000000" w:firstRow="0" w:lastRow="0" w:firstColumn="1" w:lastColumn="0" w:oddVBand="0" w:evenVBand="0" w:oddHBand="0" w:evenHBand="0" w:firstRowFirstColumn="0" w:firstRowLastColumn="0" w:lastRowFirstColumn="0" w:lastRowLastColumn="0"/>
            <w:tcW w:w="1532" w:type="dxa"/>
          </w:tcPr>
          <w:p w14:paraId="27F58CFB" w14:textId="2D0F4F40" w:rsidR="00C21B40" w:rsidRDefault="00C21B40" w:rsidP="0048517E">
            <w:pPr>
              <w:pStyle w:val="Abbreviations1"/>
              <w:keepNext/>
            </w:pPr>
            <w:r>
              <w:t>PSA</w:t>
            </w:r>
          </w:p>
        </w:tc>
        <w:tc>
          <w:tcPr>
            <w:tcW w:w="5513" w:type="dxa"/>
          </w:tcPr>
          <w:p w14:paraId="122E47C9" w14:textId="5990E4A7" w:rsidR="00C21B40" w:rsidRPr="00BD5028" w:rsidRDefault="00C21B40" w:rsidP="0048517E">
            <w:pPr>
              <w:pStyle w:val="Abbreviations2definition"/>
              <w:cnfStyle w:val="000000000000" w:firstRow="0" w:lastRow="0" w:firstColumn="0" w:lastColumn="0" w:oddVBand="0" w:evenVBand="0" w:oddHBand="0" w:evenHBand="0" w:firstRowFirstColumn="0" w:firstRowLastColumn="0" w:lastRowFirstColumn="0" w:lastRowLastColumn="0"/>
            </w:pPr>
            <w:r>
              <w:t>Pharmaceutical Society of Australia</w:t>
            </w:r>
          </w:p>
        </w:tc>
      </w:tr>
      <w:tr w:rsidR="00F675CF" w14:paraId="6B2D59A9" w14:textId="77777777" w:rsidTr="00197882">
        <w:tc>
          <w:tcPr>
            <w:cnfStyle w:val="001000000000" w:firstRow="0" w:lastRow="0" w:firstColumn="1" w:lastColumn="0" w:oddVBand="0" w:evenVBand="0" w:oddHBand="0" w:evenHBand="0" w:firstRowFirstColumn="0" w:firstRowLastColumn="0" w:lastRowFirstColumn="0" w:lastRowLastColumn="0"/>
            <w:tcW w:w="1532" w:type="dxa"/>
          </w:tcPr>
          <w:p w14:paraId="51E3ACC2" w14:textId="77777777" w:rsidR="00F675CF" w:rsidRDefault="00F675CF" w:rsidP="0048517E">
            <w:pPr>
              <w:pStyle w:val="Abbreviations1"/>
              <w:keepNext/>
            </w:pPr>
            <w:r>
              <w:t>RAMUS</w:t>
            </w:r>
          </w:p>
        </w:tc>
        <w:tc>
          <w:tcPr>
            <w:tcW w:w="5513" w:type="dxa"/>
          </w:tcPr>
          <w:p w14:paraId="26677CD9" w14:textId="77777777" w:rsidR="00F675CF" w:rsidRDefault="00F675CF" w:rsidP="0048517E">
            <w:pPr>
              <w:pStyle w:val="Abbreviations2definition"/>
              <w:cnfStyle w:val="000000000000" w:firstRow="0" w:lastRow="0" w:firstColumn="0" w:lastColumn="0" w:oddVBand="0" w:evenVBand="0" w:oddHBand="0" w:evenHBand="0" w:firstRowFirstColumn="0" w:firstRowLastColumn="0" w:lastRowFirstColumn="0" w:lastRowLastColumn="0"/>
            </w:pPr>
            <w:r w:rsidRPr="00BD5028">
              <w:t>Rural Australia Medical Undergraduate Scholarship</w:t>
            </w:r>
          </w:p>
        </w:tc>
      </w:tr>
      <w:tr w:rsidR="002B61B9" w14:paraId="227A17EE" w14:textId="77777777" w:rsidTr="00197882">
        <w:trPr>
          <w:trHeight w:val="79"/>
        </w:trPr>
        <w:tc>
          <w:tcPr>
            <w:cnfStyle w:val="001000000000" w:firstRow="0" w:lastRow="0" w:firstColumn="1" w:lastColumn="0" w:oddVBand="0" w:evenVBand="0" w:oddHBand="0" w:evenHBand="0" w:firstRowFirstColumn="0" w:firstRowLastColumn="0" w:lastRowFirstColumn="0" w:lastRowLastColumn="0"/>
            <w:tcW w:w="1532" w:type="dxa"/>
          </w:tcPr>
          <w:p w14:paraId="435C75C2" w14:textId="1FD7C14F" w:rsidR="002B61B9" w:rsidRDefault="002E50F9" w:rsidP="00FF09BD">
            <w:pPr>
              <w:pStyle w:val="Abbreviations1"/>
            </w:pPr>
            <w:r>
              <w:t>RHMTP</w:t>
            </w:r>
          </w:p>
        </w:tc>
        <w:tc>
          <w:tcPr>
            <w:tcW w:w="5513" w:type="dxa"/>
          </w:tcPr>
          <w:p w14:paraId="4D1E679F" w14:textId="7BDB5ECC" w:rsidR="002B61B9" w:rsidRDefault="00086029" w:rsidP="00C116B9">
            <w:pPr>
              <w:pStyle w:val="Abbreviations2definition"/>
              <w:cnfStyle w:val="000000000000" w:firstRow="0" w:lastRow="0" w:firstColumn="0" w:lastColumn="0" w:oddVBand="0" w:evenVBand="0" w:oddHBand="0" w:evenHBand="0" w:firstRowFirstColumn="0" w:firstRowLastColumn="0" w:lastRowFirstColumn="0" w:lastRowLastColumn="0"/>
            </w:pPr>
            <w:r w:rsidRPr="00192E5C">
              <w:t>Rural Health Multidisciplinary Training Program</w:t>
            </w:r>
          </w:p>
        </w:tc>
      </w:tr>
      <w:tr w:rsidR="002B61B9" w14:paraId="470734C8" w14:textId="77777777" w:rsidTr="00197882">
        <w:tc>
          <w:tcPr>
            <w:cnfStyle w:val="001000000000" w:firstRow="0" w:lastRow="0" w:firstColumn="1" w:lastColumn="0" w:oddVBand="0" w:evenVBand="0" w:oddHBand="0" w:evenHBand="0" w:firstRowFirstColumn="0" w:firstRowLastColumn="0" w:lastRowFirstColumn="0" w:lastRowLastColumn="0"/>
            <w:tcW w:w="1532" w:type="dxa"/>
          </w:tcPr>
          <w:p w14:paraId="40F4BEC8" w14:textId="55828573" w:rsidR="002B61B9" w:rsidRDefault="002E50F9" w:rsidP="00FF09BD">
            <w:pPr>
              <w:pStyle w:val="Abbreviations1"/>
            </w:pPr>
            <w:r>
              <w:t>RITA</w:t>
            </w:r>
          </w:p>
        </w:tc>
        <w:tc>
          <w:tcPr>
            <w:tcW w:w="5513" w:type="dxa"/>
          </w:tcPr>
          <w:p w14:paraId="0847D6C7" w14:textId="2A0036CC" w:rsidR="002B61B9" w:rsidRDefault="00F675CF" w:rsidP="00C116B9">
            <w:pPr>
              <w:pStyle w:val="Abbreviations2definition"/>
              <w:cnfStyle w:val="000000000000" w:firstRow="0" w:lastRow="0" w:firstColumn="0" w:lastColumn="0" w:oddVBand="0" w:evenVBand="0" w:oddHBand="0" w:evenHBand="0" w:firstRowFirstColumn="0" w:firstRowLastColumn="0" w:lastRowFirstColumn="0" w:lastRowLastColumn="0"/>
            </w:pPr>
            <w:r>
              <w:t>Rural Intern Training Allowance</w:t>
            </w:r>
          </w:p>
        </w:tc>
      </w:tr>
      <w:tr w:rsidR="002B61B9" w14:paraId="6A03CDF8" w14:textId="77777777" w:rsidTr="00197882">
        <w:tc>
          <w:tcPr>
            <w:cnfStyle w:val="001000000000" w:firstRow="0" w:lastRow="0" w:firstColumn="1" w:lastColumn="0" w:oddVBand="0" w:evenVBand="0" w:oddHBand="0" w:evenHBand="0" w:firstRowFirstColumn="0" w:firstRowLastColumn="0" w:lastRowFirstColumn="0" w:lastRowLastColumn="0"/>
            <w:tcW w:w="1532" w:type="dxa"/>
          </w:tcPr>
          <w:p w14:paraId="7A80C81A" w14:textId="2D0305DE" w:rsidR="002B61B9" w:rsidRDefault="002E50F9" w:rsidP="00FF09BD">
            <w:pPr>
              <w:pStyle w:val="Abbreviations1"/>
            </w:pPr>
            <w:r>
              <w:t>RLAP</w:t>
            </w:r>
          </w:p>
        </w:tc>
        <w:tc>
          <w:tcPr>
            <w:tcW w:w="5513" w:type="dxa"/>
          </w:tcPr>
          <w:p w14:paraId="3989796B" w14:textId="4BAE3AF4" w:rsidR="002B61B9" w:rsidRDefault="00F675CF" w:rsidP="00C116B9">
            <w:pPr>
              <w:pStyle w:val="Abbreviations2definition"/>
              <w:cnfStyle w:val="000000000000" w:firstRow="0" w:lastRow="0" w:firstColumn="0" w:lastColumn="0" w:oddVBand="0" w:evenVBand="0" w:oddHBand="0" w:evenHBand="0" w:firstRowFirstColumn="0" w:firstRowLastColumn="0" w:lastRowFirstColumn="0" w:lastRowLastColumn="0"/>
            </w:pPr>
            <w:r>
              <w:t>Rural Locum Assistance Program</w:t>
            </w:r>
          </w:p>
        </w:tc>
      </w:tr>
      <w:tr w:rsidR="002B61B9" w14:paraId="0F07E7CC" w14:textId="77777777" w:rsidTr="00197882">
        <w:tc>
          <w:tcPr>
            <w:cnfStyle w:val="001000000000" w:firstRow="0" w:lastRow="0" w:firstColumn="1" w:lastColumn="0" w:oddVBand="0" w:evenVBand="0" w:oddHBand="0" w:evenHBand="0" w:firstRowFirstColumn="0" w:firstRowLastColumn="0" w:lastRowFirstColumn="0" w:lastRowLastColumn="0"/>
            <w:tcW w:w="1532" w:type="dxa"/>
          </w:tcPr>
          <w:p w14:paraId="2F01839A" w14:textId="4CA5D6AE" w:rsidR="002B61B9" w:rsidRDefault="002E50F9" w:rsidP="00FF09BD">
            <w:pPr>
              <w:pStyle w:val="Abbreviations1"/>
            </w:pPr>
            <w:r>
              <w:t>RPLO</w:t>
            </w:r>
          </w:p>
        </w:tc>
        <w:tc>
          <w:tcPr>
            <w:tcW w:w="5513" w:type="dxa"/>
          </w:tcPr>
          <w:p w14:paraId="682282FC" w14:textId="133EE61E" w:rsidR="002B61B9" w:rsidRDefault="00F675CF" w:rsidP="00C116B9">
            <w:pPr>
              <w:pStyle w:val="Abbreviations2definition"/>
              <w:cnfStyle w:val="000000000000" w:firstRow="0" w:lastRow="0" w:firstColumn="0" w:lastColumn="0" w:oddVBand="0" w:evenVBand="0" w:oddHBand="0" w:evenHBand="0" w:firstRowFirstColumn="0" w:firstRowLastColumn="0" w:lastRowFirstColumn="0" w:lastRowLastColumn="0"/>
            </w:pPr>
            <w:r>
              <w:t>Rural Pharmacy Liaison Officer</w:t>
            </w:r>
          </w:p>
        </w:tc>
      </w:tr>
      <w:tr w:rsidR="002B61B9" w14:paraId="3E7B64F1" w14:textId="77777777" w:rsidTr="00197882">
        <w:tc>
          <w:tcPr>
            <w:cnfStyle w:val="001000000000" w:firstRow="0" w:lastRow="0" w:firstColumn="1" w:lastColumn="0" w:oddVBand="0" w:evenVBand="0" w:oddHBand="0" w:evenHBand="0" w:firstRowFirstColumn="0" w:firstRowLastColumn="0" w:lastRowFirstColumn="0" w:lastRowLastColumn="0"/>
            <w:tcW w:w="1532" w:type="dxa"/>
          </w:tcPr>
          <w:p w14:paraId="3D544651" w14:textId="5E4B675F" w:rsidR="002B61B9" w:rsidRDefault="002E50F9" w:rsidP="000C09D9">
            <w:pPr>
              <w:pStyle w:val="Abbreviations1"/>
              <w:keepNext/>
            </w:pPr>
            <w:r>
              <w:t>RSO</w:t>
            </w:r>
          </w:p>
        </w:tc>
        <w:tc>
          <w:tcPr>
            <w:tcW w:w="5513" w:type="dxa"/>
          </w:tcPr>
          <w:p w14:paraId="651A56A8" w14:textId="21E06840" w:rsidR="002B61B9" w:rsidRDefault="002E50F9" w:rsidP="00C116B9">
            <w:pPr>
              <w:pStyle w:val="Abbreviations2definition"/>
              <w:cnfStyle w:val="000000000000" w:firstRow="0" w:lastRow="0" w:firstColumn="0" w:lastColumn="0" w:oddVBand="0" w:evenVBand="0" w:oddHBand="0" w:evenHBand="0" w:firstRowFirstColumn="0" w:firstRowLastColumn="0" w:lastRowFirstColumn="0" w:lastRowLastColumn="0"/>
            </w:pPr>
            <w:r>
              <w:t>Return of Service</w:t>
            </w:r>
          </w:p>
        </w:tc>
      </w:tr>
      <w:tr w:rsidR="00C21B40" w14:paraId="2440B3D7" w14:textId="77777777" w:rsidTr="00197882">
        <w:tc>
          <w:tcPr>
            <w:cnfStyle w:val="001000000000" w:firstRow="0" w:lastRow="0" w:firstColumn="1" w:lastColumn="0" w:oddVBand="0" w:evenVBand="0" w:oddHBand="0" w:evenHBand="0" w:firstRowFirstColumn="0" w:firstRowLastColumn="0" w:lastRowFirstColumn="0" w:lastRowLastColumn="0"/>
            <w:tcW w:w="1532" w:type="dxa"/>
          </w:tcPr>
          <w:p w14:paraId="2012E61A" w14:textId="60B6A4A4" w:rsidR="00C21B40" w:rsidRDefault="00C21B40" w:rsidP="000C09D9">
            <w:pPr>
              <w:pStyle w:val="Abbreviations1"/>
              <w:keepNext/>
            </w:pPr>
            <w:r>
              <w:t>SHPA</w:t>
            </w:r>
          </w:p>
        </w:tc>
        <w:tc>
          <w:tcPr>
            <w:tcW w:w="5513" w:type="dxa"/>
          </w:tcPr>
          <w:p w14:paraId="10122C78" w14:textId="038CF1A4" w:rsidR="00C21B40" w:rsidRDefault="00C21B40" w:rsidP="00C116B9">
            <w:pPr>
              <w:pStyle w:val="Abbreviations2definition"/>
              <w:cnfStyle w:val="000000000000" w:firstRow="0" w:lastRow="0" w:firstColumn="0" w:lastColumn="0" w:oddVBand="0" w:evenVBand="0" w:oddHBand="0" w:evenHBand="0" w:firstRowFirstColumn="0" w:firstRowLastColumn="0" w:lastRowFirstColumn="0" w:lastRowLastColumn="0"/>
            </w:pPr>
            <w:r>
              <w:t>Society of Hospital Pharmacists of Australia</w:t>
            </w:r>
          </w:p>
        </w:tc>
      </w:tr>
      <w:tr w:rsidR="00F675CF" w14:paraId="0D9DBA23" w14:textId="77777777" w:rsidTr="00197882">
        <w:tc>
          <w:tcPr>
            <w:cnfStyle w:val="001000000000" w:firstRow="0" w:lastRow="0" w:firstColumn="1" w:lastColumn="0" w:oddVBand="0" w:evenVBand="0" w:oddHBand="0" w:evenHBand="0" w:firstRowFirstColumn="0" w:firstRowLastColumn="0" w:lastRowFirstColumn="0" w:lastRowLastColumn="0"/>
            <w:tcW w:w="1532" w:type="dxa"/>
          </w:tcPr>
          <w:p w14:paraId="2EBBF836" w14:textId="77777777" w:rsidR="00F675CF" w:rsidRDefault="00F675CF" w:rsidP="0048517E">
            <w:pPr>
              <w:pStyle w:val="Abbreviations1"/>
            </w:pPr>
            <w:r>
              <w:t>SRSA</w:t>
            </w:r>
          </w:p>
        </w:tc>
        <w:tc>
          <w:tcPr>
            <w:tcW w:w="5513" w:type="dxa"/>
          </w:tcPr>
          <w:p w14:paraId="7C2E0C60" w14:textId="77777777" w:rsidR="00F675CF" w:rsidRDefault="00F675CF" w:rsidP="0048517E">
            <w:pPr>
              <w:pStyle w:val="Abbreviations2definition"/>
              <w:cnfStyle w:val="000000000000" w:firstRow="0" w:lastRow="0" w:firstColumn="0" w:lastColumn="0" w:oddVBand="0" w:evenVBand="0" w:oddHBand="0" w:evenHBand="0" w:firstRowFirstColumn="0" w:firstRowLastColumn="0" w:lastRowFirstColumn="0" w:lastRowLastColumn="0"/>
            </w:pPr>
            <w:r w:rsidRPr="00C71755">
              <w:t>Support for Rural Specialists in Australia</w:t>
            </w:r>
          </w:p>
        </w:tc>
      </w:tr>
      <w:tr w:rsidR="002B61B9" w14:paraId="17C6E2BE" w14:textId="77777777" w:rsidTr="00197882">
        <w:tc>
          <w:tcPr>
            <w:cnfStyle w:val="001000000000" w:firstRow="0" w:lastRow="0" w:firstColumn="1" w:lastColumn="0" w:oddVBand="0" w:evenVBand="0" w:oddHBand="0" w:evenHBand="0" w:firstRowFirstColumn="0" w:firstRowLastColumn="0" w:lastRowFirstColumn="0" w:lastRowLastColumn="0"/>
            <w:tcW w:w="1532" w:type="dxa"/>
          </w:tcPr>
          <w:p w14:paraId="1EDC3956" w14:textId="5B21F94E" w:rsidR="002B61B9" w:rsidRDefault="002E50F9" w:rsidP="000C09D9">
            <w:pPr>
              <w:pStyle w:val="Abbreviations1"/>
              <w:keepNext/>
            </w:pPr>
            <w:r>
              <w:t>UDRH</w:t>
            </w:r>
          </w:p>
        </w:tc>
        <w:tc>
          <w:tcPr>
            <w:tcW w:w="5513" w:type="dxa"/>
          </w:tcPr>
          <w:p w14:paraId="01904C2C" w14:textId="35CE5864" w:rsidR="002B61B9" w:rsidRDefault="00F675CF" w:rsidP="00C116B9">
            <w:pPr>
              <w:pStyle w:val="Abbreviations2definition"/>
              <w:cnfStyle w:val="000000000000" w:firstRow="0" w:lastRow="0" w:firstColumn="0" w:lastColumn="0" w:oddVBand="0" w:evenVBand="0" w:oddHBand="0" w:evenHBand="0" w:firstRowFirstColumn="0" w:firstRowLastColumn="0" w:lastRowFirstColumn="0" w:lastRowLastColumn="0"/>
            </w:pPr>
            <w:r>
              <w:t>University Department of Rural Health</w:t>
            </w:r>
          </w:p>
        </w:tc>
      </w:tr>
    </w:tbl>
    <w:p w14:paraId="60B316C7" w14:textId="77777777" w:rsidR="00BE55C1" w:rsidRDefault="00BE55C1" w:rsidP="00131108">
      <w:pPr>
        <w:pStyle w:val="Heading1"/>
        <w:numPr>
          <w:ilvl w:val="0"/>
          <w:numId w:val="0"/>
        </w:numPr>
        <w:sectPr w:rsidR="00BE55C1" w:rsidSect="0088535F">
          <w:headerReference w:type="even" r:id="rId14"/>
          <w:headerReference w:type="default" r:id="rId15"/>
          <w:footerReference w:type="default" r:id="rId16"/>
          <w:pgSz w:w="16840" w:h="11901" w:orient="landscape" w:code="9"/>
          <w:pgMar w:top="2268" w:right="1304" w:bottom="851" w:left="737" w:header="567" w:footer="284" w:gutter="0"/>
          <w:pgNumType w:fmt="lowerRoman" w:start="1"/>
          <w:cols w:num="2" w:space="708"/>
          <w:formProt w:val="0"/>
          <w:docGrid w:linePitch="272"/>
        </w:sectPr>
      </w:pPr>
    </w:p>
    <w:p w14:paraId="0A9DF759" w14:textId="07BC5FC7" w:rsidR="00131108" w:rsidRDefault="00131108" w:rsidP="00131108">
      <w:pPr>
        <w:pStyle w:val="Heading1"/>
        <w:numPr>
          <w:ilvl w:val="0"/>
          <w:numId w:val="0"/>
        </w:numPr>
      </w:pPr>
      <w:bookmarkStart w:id="2" w:name="_Toc523318789"/>
      <w:r w:rsidRPr="001618BD">
        <w:lastRenderedPageBreak/>
        <w:t>Executive SUmmary</w:t>
      </w:r>
      <w:bookmarkEnd w:id="2"/>
    </w:p>
    <w:p w14:paraId="69F9D71C" w14:textId="0059A866" w:rsidR="005F593D" w:rsidRDefault="001618BD" w:rsidP="006A02A7">
      <w:pPr>
        <w:pStyle w:val="ESHeading2"/>
        <w:spacing w:before="0"/>
      </w:pPr>
      <w:r>
        <w:t>Context</w:t>
      </w:r>
    </w:p>
    <w:p w14:paraId="7B4EB21A" w14:textId="18BBBFFD" w:rsidR="001618BD" w:rsidRPr="00822141" w:rsidRDefault="001618BD" w:rsidP="001618BD">
      <w:pPr>
        <w:spacing w:before="85" w:after="85"/>
        <w:rPr>
          <w:rFonts w:eastAsia="Times New Roman"/>
        </w:rPr>
      </w:pPr>
      <w:r w:rsidRPr="00822141">
        <w:rPr>
          <w:rFonts w:eastAsia="Times New Roman"/>
        </w:rPr>
        <w:t xml:space="preserve">The Australian Government Department of Health (the Department) </w:t>
      </w:r>
      <w:r>
        <w:rPr>
          <w:rFonts w:eastAsia="Times New Roman"/>
        </w:rPr>
        <w:t xml:space="preserve">engaged </w:t>
      </w:r>
      <w:r w:rsidRPr="00822141">
        <w:rPr>
          <w:rFonts w:eastAsia="Times New Roman"/>
        </w:rPr>
        <w:t xml:space="preserve">Healthcare Management Advisors (HMA) to </w:t>
      </w:r>
      <w:r w:rsidR="00691A85">
        <w:rPr>
          <w:rFonts w:eastAsia="Times New Roman"/>
        </w:rPr>
        <w:t>review</w:t>
      </w:r>
      <w:r>
        <w:rPr>
          <w:rFonts w:eastAsia="Times New Roman"/>
        </w:rPr>
        <w:t xml:space="preserve"> the 12 ongoing Pharmacy Workforce Programs, classified as </w:t>
      </w:r>
      <w:r>
        <w:t xml:space="preserve">either </w:t>
      </w:r>
      <w:r w:rsidRPr="00B50D52">
        <w:rPr>
          <w:i/>
        </w:rPr>
        <w:t>Rural Support Programs</w:t>
      </w:r>
      <w:r>
        <w:t xml:space="preserve"> or </w:t>
      </w:r>
      <w:r w:rsidRPr="00B50D52">
        <w:rPr>
          <w:i/>
        </w:rPr>
        <w:t>Aboriginal and Torres Strait Islander Specific Programs</w:t>
      </w:r>
      <w:r>
        <w:t>.</w:t>
      </w:r>
    </w:p>
    <w:p w14:paraId="1513957F" w14:textId="77777777" w:rsidR="001618BD" w:rsidRDefault="001618BD" w:rsidP="001618BD">
      <w:pPr>
        <w:pStyle w:val="BodyCopy"/>
      </w:pPr>
      <w:r>
        <w:t xml:space="preserve">The aim of the </w:t>
      </w:r>
      <w:r w:rsidRPr="00822141">
        <w:t xml:space="preserve">Rural Support Programs </w:t>
      </w:r>
      <w:r>
        <w:t xml:space="preserve">is to </w:t>
      </w:r>
      <w:r w:rsidRPr="00822141">
        <w:t>support targeted programs and services to improve access to PBS medicines and services for people living in rural and remote regions of Australia</w:t>
      </w:r>
      <w:r>
        <w:t xml:space="preserve">. Rural Support Programs in the scope of this evaluation are: </w:t>
      </w:r>
    </w:p>
    <w:p w14:paraId="2B5ADAF7" w14:textId="77777777" w:rsidR="001618BD" w:rsidRPr="00822141" w:rsidRDefault="001618BD" w:rsidP="001618BD">
      <w:pPr>
        <w:numPr>
          <w:ilvl w:val="0"/>
          <w:numId w:val="2"/>
        </w:numPr>
        <w:spacing w:before="20" w:after="20"/>
        <w:rPr>
          <w:rFonts w:eastAsia="Times New Roman"/>
        </w:rPr>
      </w:pPr>
      <w:r w:rsidRPr="00822141">
        <w:rPr>
          <w:rFonts w:eastAsia="Times New Roman"/>
        </w:rPr>
        <w:t>Rural Pharmacy Scholarship Scheme</w:t>
      </w:r>
    </w:p>
    <w:p w14:paraId="578F078D" w14:textId="77777777" w:rsidR="001618BD" w:rsidRPr="00822141" w:rsidRDefault="001618BD" w:rsidP="001618BD">
      <w:pPr>
        <w:numPr>
          <w:ilvl w:val="0"/>
          <w:numId w:val="2"/>
        </w:numPr>
        <w:spacing w:before="20" w:after="20"/>
        <w:rPr>
          <w:rFonts w:eastAsia="Times New Roman"/>
        </w:rPr>
      </w:pPr>
      <w:r w:rsidRPr="00822141">
        <w:rPr>
          <w:rFonts w:eastAsia="Times New Roman"/>
        </w:rPr>
        <w:t>Rural Pharmacy Scholarship Mentor Scheme</w:t>
      </w:r>
    </w:p>
    <w:p w14:paraId="2521938D" w14:textId="77777777" w:rsidR="001618BD" w:rsidRPr="00822141" w:rsidRDefault="001618BD" w:rsidP="001618BD">
      <w:pPr>
        <w:numPr>
          <w:ilvl w:val="0"/>
          <w:numId w:val="2"/>
        </w:numPr>
        <w:spacing w:before="20" w:after="20"/>
        <w:rPr>
          <w:rFonts w:eastAsia="Times New Roman"/>
        </w:rPr>
      </w:pPr>
      <w:r w:rsidRPr="00822141">
        <w:rPr>
          <w:rFonts w:eastAsia="Times New Roman"/>
        </w:rPr>
        <w:t>Intern Incentive Allowance for Rural Pharmacies</w:t>
      </w:r>
    </w:p>
    <w:p w14:paraId="14264E35" w14:textId="77777777" w:rsidR="001618BD" w:rsidRPr="00822141" w:rsidRDefault="001618BD" w:rsidP="001618BD">
      <w:pPr>
        <w:numPr>
          <w:ilvl w:val="0"/>
          <w:numId w:val="2"/>
        </w:numPr>
        <w:spacing w:before="20" w:after="20"/>
        <w:rPr>
          <w:rFonts w:eastAsia="Times New Roman"/>
        </w:rPr>
      </w:pPr>
      <w:r w:rsidRPr="00822141">
        <w:rPr>
          <w:rFonts w:eastAsia="Times New Roman"/>
        </w:rPr>
        <w:t>Intern Incentive Allowance for Rural Pharmacies – Extension Program</w:t>
      </w:r>
    </w:p>
    <w:p w14:paraId="1C9313C2" w14:textId="77777777" w:rsidR="001618BD" w:rsidRPr="00822141" w:rsidRDefault="001618BD" w:rsidP="001618BD">
      <w:pPr>
        <w:numPr>
          <w:ilvl w:val="0"/>
          <w:numId w:val="2"/>
        </w:numPr>
        <w:spacing w:before="20" w:after="20"/>
        <w:rPr>
          <w:rFonts w:eastAsia="Times New Roman"/>
        </w:rPr>
      </w:pPr>
      <w:r w:rsidRPr="00822141">
        <w:rPr>
          <w:rFonts w:eastAsia="Times New Roman"/>
        </w:rPr>
        <w:t>Rural Intern Training Allowance</w:t>
      </w:r>
    </w:p>
    <w:p w14:paraId="5169BE69" w14:textId="77777777" w:rsidR="001618BD" w:rsidRPr="00822141" w:rsidRDefault="001618BD" w:rsidP="001618BD">
      <w:pPr>
        <w:numPr>
          <w:ilvl w:val="0"/>
          <w:numId w:val="2"/>
        </w:numPr>
        <w:spacing w:before="20" w:after="20"/>
        <w:rPr>
          <w:rFonts w:eastAsia="Times New Roman"/>
        </w:rPr>
      </w:pPr>
      <w:r w:rsidRPr="00822141">
        <w:rPr>
          <w:rFonts w:eastAsia="Times New Roman"/>
        </w:rPr>
        <w:t>Rural Pharmacy Student Placement Allowance</w:t>
      </w:r>
    </w:p>
    <w:p w14:paraId="60BAA02E" w14:textId="77777777" w:rsidR="001618BD" w:rsidRPr="00822141" w:rsidRDefault="001618BD" w:rsidP="001618BD">
      <w:pPr>
        <w:numPr>
          <w:ilvl w:val="0"/>
          <w:numId w:val="2"/>
        </w:numPr>
        <w:spacing w:before="20" w:after="20"/>
        <w:rPr>
          <w:rFonts w:eastAsia="Times New Roman"/>
        </w:rPr>
      </w:pPr>
      <w:r w:rsidRPr="00822141">
        <w:rPr>
          <w:rFonts w:eastAsia="Times New Roman"/>
        </w:rPr>
        <w:t>Administrative Support to Pharmacy Schools</w:t>
      </w:r>
    </w:p>
    <w:p w14:paraId="729FDCF9" w14:textId="77777777" w:rsidR="001618BD" w:rsidRPr="00822141" w:rsidRDefault="001618BD" w:rsidP="001618BD">
      <w:pPr>
        <w:numPr>
          <w:ilvl w:val="0"/>
          <w:numId w:val="2"/>
        </w:numPr>
        <w:spacing w:before="20" w:after="20"/>
        <w:rPr>
          <w:rFonts w:eastAsia="Times New Roman"/>
        </w:rPr>
      </w:pPr>
      <w:r w:rsidRPr="00822141">
        <w:rPr>
          <w:rFonts w:eastAsia="Times New Roman"/>
        </w:rPr>
        <w:t>Continuing Professional Educational Allowance</w:t>
      </w:r>
    </w:p>
    <w:p w14:paraId="79ED3B9B" w14:textId="77777777" w:rsidR="001618BD" w:rsidRPr="00822141" w:rsidRDefault="001618BD" w:rsidP="001618BD">
      <w:pPr>
        <w:numPr>
          <w:ilvl w:val="0"/>
          <w:numId w:val="2"/>
        </w:numPr>
        <w:spacing w:before="20" w:after="20"/>
        <w:rPr>
          <w:rFonts w:eastAsia="Times New Roman"/>
        </w:rPr>
      </w:pPr>
      <w:r w:rsidRPr="00822141">
        <w:rPr>
          <w:rFonts w:eastAsia="Times New Roman"/>
        </w:rPr>
        <w:t>Rural Pharmacy Liaison Officer Program, and</w:t>
      </w:r>
    </w:p>
    <w:p w14:paraId="1D14B2F4" w14:textId="77777777" w:rsidR="001618BD" w:rsidRPr="00822141" w:rsidRDefault="001618BD" w:rsidP="001618BD">
      <w:pPr>
        <w:numPr>
          <w:ilvl w:val="0"/>
          <w:numId w:val="2"/>
        </w:numPr>
        <w:spacing w:before="20" w:after="20"/>
        <w:rPr>
          <w:rFonts w:eastAsia="Times New Roman"/>
        </w:rPr>
      </w:pPr>
      <w:r w:rsidRPr="00822141">
        <w:rPr>
          <w:rFonts w:eastAsia="Times New Roman"/>
        </w:rPr>
        <w:t xml:space="preserve">Emergency Locum Service. </w:t>
      </w:r>
    </w:p>
    <w:p w14:paraId="3E22080B" w14:textId="77777777" w:rsidR="001618BD" w:rsidRDefault="001618BD" w:rsidP="001618BD">
      <w:pPr>
        <w:pStyle w:val="BodyCopy"/>
        <w:keepNext/>
      </w:pPr>
      <w:r>
        <w:t xml:space="preserve">The aim of </w:t>
      </w:r>
      <w:r w:rsidRPr="00822141">
        <w:t>Aboriginal and Torres Strait Islander Specific Programs</w:t>
      </w:r>
      <w:r>
        <w:t xml:space="preserve"> is to </w:t>
      </w:r>
      <w:r w:rsidRPr="00822141">
        <w:t>support targeted programs and services</w:t>
      </w:r>
      <w:r>
        <w:t>,</w:t>
      </w:r>
      <w:r w:rsidRPr="00822141">
        <w:t xml:space="preserve"> which improve quality use of medicines</w:t>
      </w:r>
      <w:r>
        <w:t xml:space="preserve">(QUM) </w:t>
      </w:r>
      <w:r w:rsidRPr="00822141">
        <w:t>and culturally appropriate services for Aboriginal and Torres Strait Islander consumers</w:t>
      </w:r>
      <w:r>
        <w:t xml:space="preserve">. There are four </w:t>
      </w:r>
      <w:r w:rsidRPr="00822141">
        <w:t>Aboriginal and Torres Strait Islander Specific Programs</w:t>
      </w:r>
      <w:r>
        <w:t xml:space="preserve">, two of which are within scope of this evaluation, as follows: </w:t>
      </w:r>
    </w:p>
    <w:p w14:paraId="3A9B59D3" w14:textId="77777777" w:rsidR="001618BD" w:rsidRPr="00822141" w:rsidRDefault="001618BD" w:rsidP="001618BD">
      <w:pPr>
        <w:numPr>
          <w:ilvl w:val="0"/>
          <w:numId w:val="2"/>
        </w:numPr>
        <w:spacing w:before="20" w:after="20"/>
        <w:rPr>
          <w:rFonts w:eastAsia="Times New Roman"/>
        </w:rPr>
      </w:pPr>
      <w:r w:rsidRPr="00822141">
        <w:rPr>
          <w:rFonts w:eastAsia="Times New Roman"/>
        </w:rPr>
        <w:t>Aboriginal and Torres Strait Islander Pharmacy Assistant Traineeship Scheme</w:t>
      </w:r>
      <w:r>
        <w:rPr>
          <w:rFonts w:eastAsia="Times New Roman"/>
        </w:rPr>
        <w:t xml:space="preserve">, and </w:t>
      </w:r>
    </w:p>
    <w:p w14:paraId="74D1C698" w14:textId="77777777" w:rsidR="001618BD" w:rsidRPr="00822141" w:rsidRDefault="001618BD" w:rsidP="001618BD">
      <w:pPr>
        <w:numPr>
          <w:ilvl w:val="0"/>
          <w:numId w:val="2"/>
        </w:numPr>
        <w:spacing w:before="20" w:after="20"/>
        <w:rPr>
          <w:rFonts w:eastAsia="Times New Roman"/>
        </w:rPr>
      </w:pPr>
      <w:r w:rsidRPr="00822141">
        <w:rPr>
          <w:rFonts w:eastAsia="Times New Roman"/>
        </w:rPr>
        <w:t>Aboriginal and Torres Strait Islander Pharmacy Scholarship Scheme</w:t>
      </w:r>
      <w:r>
        <w:rPr>
          <w:rFonts w:eastAsia="Times New Roman"/>
        </w:rPr>
        <w:t xml:space="preserve">. </w:t>
      </w:r>
    </w:p>
    <w:p w14:paraId="2EBCB858" w14:textId="5DA65285" w:rsidR="001618BD" w:rsidRDefault="001618BD" w:rsidP="001618BD">
      <w:pPr>
        <w:pStyle w:val="BodyCopy"/>
      </w:pPr>
      <w:r>
        <w:t>The Pharmacy Workforce programs target recruitment and retention of pharmacists in rural and remote areas, as well as support for students and interns and culturally appropriate services.</w:t>
      </w:r>
    </w:p>
    <w:p w14:paraId="6BA52F0B" w14:textId="4483DA82" w:rsidR="001618BD" w:rsidRDefault="001618BD" w:rsidP="009A65BB">
      <w:pPr>
        <w:pStyle w:val="ESHeading2"/>
      </w:pPr>
      <w:r>
        <w:t>Method</w:t>
      </w:r>
    </w:p>
    <w:p w14:paraId="59981DFB" w14:textId="4E02B91D" w:rsidR="00691A85" w:rsidRDefault="00691A85" w:rsidP="00691A85">
      <w:pPr>
        <w:pStyle w:val="BodyCopy"/>
      </w:pPr>
      <w:r>
        <w:t xml:space="preserve">HMA and the Department agreed an approach to undertaking the review, including several data collection activities, including: </w:t>
      </w:r>
    </w:p>
    <w:p w14:paraId="34649C58" w14:textId="17FD96EC" w:rsidR="00691A85" w:rsidRDefault="00691A85" w:rsidP="009A65BB">
      <w:pPr>
        <w:pStyle w:val="Bullets1"/>
      </w:pPr>
      <w:r>
        <w:t xml:space="preserve">PICO (Population, Intervention, Comparator, Outcome) descriptions of in-scope programs </w:t>
      </w:r>
    </w:p>
    <w:p w14:paraId="12CEB9DB" w14:textId="72321958" w:rsidR="00691A85" w:rsidRDefault="00691A85" w:rsidP="009A65BB">
      <w:pPr>
        <w:pStyle w:val="Bullets1"/>
      </w:pPr>
      <w:r>
        <w:t>workforce data analysis</w:t>
      </w:r>
    </w:p>
    <w:p w14:paraId="184D8CE5" w14:textId="1D263715" w:rsidR="00691A85" w:rsidRDefault="00691A85" w:rsidP="009A65BB">
      <w:pPr>
        <w:pStyle w:val="Bullets1"/>
      </w:pPr>
      <w:r>
        <w:t>peak body stakeholder consultations</w:t>
      </w:r>
    </w:p>
    <w:p w14:paraId="1C962AAF" w14:textId="4A67D104" w:rsidR="00691A85" w:rsidRDefault="00691A85" w:rsidP="009A65BB">
      <w:pPr>
        <w:pStyle w:val="Bullets1"/>
      </w:pPr>
      <w:r>
        <w:t>program recipient and intended beneficiary consultations</w:t>
      </w:r>
    </w:p>
    <w:p w14:paraId="5B1B240A" w14:textId="0324C863" w:rsidR="00691A85" w:rsidRDefault="00691A85" w:rsidP="009A65BB">
      <w:pPr>
        <w:pStyle w:val="Bullets1"/>
      </w:pPr>
      <w:r>
        <w:t>web-based surveys to intended program beneficiaries, and</w:t>
      </w:r>
    </w:p>
    <w:p w14:paraId="1162996D" w14:textId="5A9701C9" w:rsidR="001618BD" w:rsidRDefault="00691A85" w:rsidP="009A65BB">
      <w:pPr>
        <w:pStyle w:val="Bullets1"/>
      </w:pPr>
      <w:r>
        <w:t xml:space="preserve">unit cost analysis. </w:t>
      </w:r>
    </w:p>
    <w:p w14:paraId="723C820B" w14:textId="578E6E41" w:rsidR="00691A85" w:rsidRDefault="00691A85" w:rsidP="00691A85">
      <w:pPr>
        <w:pStyle w:val="BodyCopy"/>
      </w:pPr>
      <w:r>
        <w:t>The findings of each of these data collection methods are synthesised in this document to draw conclusions on the appropriateness, effectiveness and efficiency of each of the 12 programs in achieving their outcomes.</w:t>
      </w:r>
    </w:p>
    <w:p w14:paraId="376BFAF5" w14:textId="09DFC016" w:rsidR="001618BD" w:rsidRPr="001618BD" w:rsidRDefault="001618BD" w:rsidP="009A65BB">
      <w:pPr>
        <w:pStyle w:val="ESHeading2"/>
      </w:pPr>
      <w:r>
        <w:t>Key findings</w:t>
      </w:r>
    </w:p>
    <w:p w14:paraId="740FE5E7" w14:textId="2F461AA8" w:rsidR="001618BD" w:rsidRDefault="00691A85" w:rsidP="009A65BB">
      <w:pPr>
        <w:pStyle w:val="BodyCopy"/>
      </w:pPr>
      <w:r>
        <w:t xml:space="preserve">The review examined the appropriateness, effectiveness and efficiency of each of the 12 in-scope programs. The key findings for each program are summarised </w:t>
      </w:r>
      <w:r w:rsidR="00957060">
        <w:t xml:space="preserve">in </w:t>
      </w:r>
      <w:r w:rsidR="00957060">
        <w:fldChar w:fldCharType="begin"/>
      </w:r>
      <w:r w:rsidR="00957060">
        <w:instrText xml:space="preserve"> REF _Ref490122156 \h </w:instrText>
      </w:r>
      <w:r w:rsidR="00957060">
        <w:fldChar w:fldCharType="separate"/>
      </w:r>
      <w:r w:rsidR="00910E65">
        <w:t>Table</w:t>
      </w:r>
      <w:r w:rsidR="001422E9">
        <w:t> </w:t>
      </w:r>
      <w:r w:rsidR="00910E65">
        <w:rPr>
          <w:noProof/>
        </w:rPr>
        <w:t>1</w:t>
      </w:r>
      <w:r w:rsidR="00910E65">
        <w:t>.</w:t>
      </w:r>
      <w:r w:rsidR="00910E65">
        <w:rPr>
          <w:noProof/>
        </w:rPr>
        <w:t>1</w:t>
      </w:r>
      <w:r w:rsidR="00957060">
        <w:fldChar w:fldCharType="end"/>
      </w:r>
      <w:r w:rsidR="00957060">
        <w:t>.</w:t>
      </w:r>
    </w:p>
    <w:p w14:paraId="3D5AEEB1" w14:textId="77777777" w:rsidR="00BE55C1" w:rsidRDefault="00BE55C1" w:rsidP="009A65BB">
      <w:pPr>
        <w:pStyle w:val="BodyCopy"/>
      </w:pPr>
    </w:p>
    <w:p w14:paraId="58840358" w14:textId="77777777" w:rsidR="009C4536" w:rsidRDefault="009C4536" w:rsidP="009C4536">
      <w:pPr>
        <w:pStyle w:val="Caption"/>
        <w:sectPr w:rsidR="009C4536" w:rsidSect="00B854D5">
          <w:pgSz w:w="16840" w:h="11901" w:orient="landscape" w:code="9"/>
          <w:pgMar w:top="2268" w:right="1304" w:bottom="851" w:left="737" w:header="567" w:footer="284" w:gutter="0"/>
          <w:pgNumType w:fmt="lowerRoman"/>
          <w:cols w:num="2" w:space="708"/>
          <w:formProt w:val="0"/>
          <w:docGrid w:linePitch="272"/>
        </w:sectPr>
      </w:pPr>
    </w:p>
    <w:p w14:paraId="3866804D" w14:textId="1E264EDC" w:rsidR="00691A85" w:rsidRDefault="009C4536" w:rsidP="009C4536">
      <w:pPr>
        <w:pStyle w:val="Caption"/>
        <w:rPr>
          <w:rStyle w:val="Captionnotbold"/>
        </w:rPr>
      </w:pPr>
      <w:bookmarkStart w:id="3" w:name="_Ref490122156"/>
      <w:r>
        <w:lastRenderedPageBreak/>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1</w:t>
      </w:r>
      <w:r w:rsidR="00BC6E6C">
        <w:rPr>
          <w:noProof/>
        </w:rPr>
        <w:fldChar w:fldCharType="end"/>
      </w:r>
      <w:r>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1</w:t>
      </w:r>
      <w:r w:rsidR="00BC6E6C">
        <w:rPr>
          <w:noProof/>
        </w:rPr>
        <w:fldChar w:fldCharType="end"/>
      </w:r>
      <w:bookmarkEnd w:id="3"/>
      <w:r>
        <w:t xml:space="preserve">: </w:t>
      </w:r>
      <w:r>
        <w:rPr>
          <w:rStyle w:val="Captionnotbold"/>
        </w:rPr>
        <w:t>Summary of key findings, by program</w:t>
      </w:r>
    </w:p>
    <w:tbl>
      <w:tblPr>
        <w:tblStyle w:val="HMATable"/>
        <w:tblW w:w="5000" w:type="pct"/>
        <w:tblLook w:val="04A0" w:firstRow="1" w:lastRow="0" w:firstColumn="1" w:lastColumn="0" w:noHBand="0" w:noVBand="1"/>
        <w:tblCaption w:val="Table 1.1: Summary of key findings, by program"/>
        <w:tblDescription w:val="Table 1.1: Summary of key findings, by program. Table represents Program, Appropriateness: key findings, Effectiveness: key findings, Efficentcy: key findings for Recruitment programs, Retention programs, Other support programs, and Programs to increase access to culturally appropriate services."/>
      </w:tblPr>
      <w:tblGrid>
        <w:gridCol w:w="2972"/>
        <w:gridCol w:w="3937"/>
        <w:gridCol w:w="4425"/>
        <w:gridCol w:w="3455"/>
      </w:tblGrid>
      <w:tr w:rsidR="00A621DC" w14:paraId="29E5C147" w14:textId="77777777" w:rsidTr="001B4A16">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005" w:type="pct"/>
          </w:tcPr>
          <w:p w14:paraId="6A7FAF00" w14:textId="52583AC0" w:rsidR="009C4536" w:rsidRDefault="00957060" w:rsidP="009A65BB">
            <w:pPr>
              <w:pStyle w:val="TableColumnHeading"/>
            </w:pPr>
            <w:r>
              <w:t>Program</w:t>
            </w:r>
          </w:p>
        </w:tc>
        <w:tc>
          <w:tcPr>
            <w:tcW w:w="1331" w:type="pct"/>
          </w:tcPr>
          <w:p w14:paraId="3F698F62" w14:textId="6E4482CD" w:rsidR="009C4536" w:rsidRDefault="009C4536" w:rsidP="009A65BB">
            <w:pPr>
              <w:pStyle w:val="TableColumnHeading"/>
              <w:cnfStyle w:val="100000000000" w:firstRow="1" w:lastRow="0" w:firstColumn="0" w:lastColumn="0" w:oddVBand="0" w:evenVBand="0" w:oddHBand="0" w:evenHBand="0" w:firstRowFirstColumn="0" w:firstRowLastColumn="0" w:lastRowFirstColumn="0" w:lastRowLastColumn="0"/>
            </w:pPr>
            <w:r>
              <w:t>Appropriateness</w:t>
            </w:r>
            <w:r w:rsidR="00D64FA9">
              <w:t>: key findings</w:t>
            </w:r>
          </w:p>
        </w:tc>
        <w:tc>
          <w:tcPr>
            <w:tcW w:w="1496" w:type="pct"/>
          </w:tcPr>
          <w:p w14:paraId="4FAE6A28" w14:textId="22732C89" w:rsidR="009C4536" w:rsidRDefault="009C4536" w:rsidP="009A65BB">
            <w:pPr>
              <w:pStyle w:val="TableColumnHeading"/>
              <w:cnfStyle w:val="100000000000" w:firstRow="1" w:lastRow="0" w:firstColumn="0" w:lastColumn="0" w:oddVBand="0" w:evenVBand="0" w:oddHBand="0" w:evenHBand="0" w:firstRowFirstColumn="0" w:firstRowLastColumn="0" w:lastRowFirstColumn="0" w:lastRowLastColumn="0"/>
            </w:pPr>
            <w:r>
              <w:t>Effectiveness</w:t>
            </w:r>
            <w:r w:rsidR="00D64FA9">
              <w:t>: key findings</w:t>
            </w:r>
          </w:p>
        </w:tc>
        <w:tc>
          <w:tcPr>
            <w:tcW w:w="1168" w:type="pct"/>
          </w:tcPr>
          <w:p w14:paraId="712B6C47" w14:textId="399C21B1" w:rsidR="009C4536" w:rsidRDefault="009C4536" w:rsidP="009A65BB">
            <w:pPr>
              <w:pStyle w:val="TableColumnHeading"/>
              <w:cnfStyle w:val="100000000000" w:firstRow="1" w:lastRow="0" w:firstColumn="0" w:lastColumn="0" w:oddVBand="0" w:evenVBand="0" w:oddHBand="0" w:evenHBand="0" w:firstRowFirstColumn="0" w:firstRowLastColumn="0" w:lastRowFirstColumn="0" w:lastRowLastColumn="0"/>
            </w:pPr>
            <w:r>
              <w:t>Efficiency</w:t>
            </w:r>
            <w:r w:rsidR="00D64FA9">
              <w:t>: key findings</w:t>
            </w:r>
          </w:p>
        </w:tc>
      </w:tr>
      <w:tr w:rsidR="00EC343A" w14:paraId="7F9C79E0" w14:textId="77777777" w:rsidTr="001B4A16">
        <w:tc>
          <w:tcPr>
            <w:cnfStyle w:val="001000000000" w:firstRow="0" w:lastRow="0" w:firstColumn="1" w:lastColumn="0" w:oddVBand="0" w:evenVBand="0" w:oddHBand="0" w:evenHBand="0" w:firstRowFirstColumn="0" w:firstRowLastColumn="0" w:lastRowFirstColumn="0" w:lastRowLastColumn="0"/>
            <w:tcW w:w="1005" w:type="pct"/>
            <w:shd w:val="clear" w:color="auto" w:fill="000000" w:themeFill="text1"/>
          </w:tcPr>
          <w:p w14:paraId="0C5C2C80" w14:textId="77777777" w:rsidR="00EC343A" w:rsidRDefault="00EC343A" w:rsidP="00D64FA9">
            <w:pPr>
              <w:pStyle w:val="TableCopy"/>
              <w:rPr>
                <w:b w:val="0"/>
              </w:rPr>
            </w:pPr>
            <w:r w:rsidRPr="009A65BB">
              <w:rPr>
                <w:rFonts w:eastAsia="Times New Roman"/>
                <w:color w:val="FFFFFF" w:themeColor="background1"/>
              </w:rPr>
              <w:t xml:space="preserve">Recruitment </w:t>
            </w:r>
            <w:r>
              <w:rPr>
                <w:rFonts w:eastAsia="Times New Roman"/>
                <w:color w:val="FFFFFF" w:themeColor="background1"/>
              </w:rPr>
              <w:t>programs</w:t>
            </w:r>
            <w:r w:rsidRPr="009A65BB">
              <w:rPr>
                <w:rFonts w:eastAsia="Times New Roman"/>
                <w:color w:val="FFFFFF" w:themeColor="background1"/>
              </w:rPr>
              <w:t xml:space="preserve"> </w:t>
            </w:r>
          </w:p>
        </w:tc>
        <w:tc>
          <w:tcPr>
            <w:tcW w:w="1331" w:type="pct"/>
            <w:shd w:val="clear" w:color="auto" w:fill="000000" w:themeFill="text1"/>
          </w:tcPr>
          <w:p w14:paraId="4723DF66" w14:textId="77777777" w:rsidR="00EC343A" w:rsidRDefault="00EC343A" w:rsidP="00D64FA9">
            <w:pPr>
              <w:pStyle w:val="TableCopy"/>
              <w:cnfStyle w:val="000000000000" w:firstRow="0" w:lastRow="0" w:firstColumn="0" w:lastColumn="0" w:oddVBand="0" w:evenVBand="0" w:oddHBand="0" w:evenHBand="0" w:firstRowFirstColumn="0" w:firstRowLastColumn="0" w:lastRowFirstColumn="0" w:lastRowLastColumn="0"/>
              <w:rPr>
                <w:b/>
              </w:rPr>
            </w:pPr>
          </w:p>
        </w:tc>
        <w:tc>
          <w:tcPr>
            <w:tcW w:w="1496" w:type="pct"/>
            <w:shd w:val="clear" w:color="auto" w:fill="000000" w:themeFill="text1"/>
          </w:tcPr>
          <w:p w14:paraId="463E2F09" w14:textId="77777777" w:rsidR="00EC343A" w:rsidRDefault="00EC343A" w:rsidP="00D64FA9">
            <w:pPr>
              <w:pStyle w:val="TableCopy"/>
              <w:cnfStyle w:val="000000000000" w:firstRow="0" w:lastRow="0" w:firstColumn="0" w:lastColumn="0" w:oddVBand="0" w:evenVBand="0" w:oddHBand="0" w:evenHBand="0" w:firstRowFirstColumn="0" w:firstRowLastColumn="0" w:lastRowFirstColumn="0" w:lastRowLastColumn="0"/>
              <w:rPr>
                <w:b/>
              </w:rPr>
            </w:pPr>
          </w:p>
        </w:tc>
        <w:tc>
          <w:tcPr>
            <w:tcW w:w="1168" w:type="pct"/>
            <w:shd w:val="clear" w:color="auto" w:fill="000000" w:themeFill="text1"/>
          </w:tcPr>
          <w:p w14:paraId="4F976F7A" w14:textId="1DE59A46" w:rsidR="00EC343A" w:rsidRDefault="00EC343A" w:rsidP="00D64FA9">
            <w:pPr>
              <w:pStyle w:val="TableCopy"/>
              <w:cnfStyle w:val="000000000000" w:firstRow="0" w:lastRow="0" w:firstColumn="0" w:lastColumn="0" w:oddVBand="0" w:evenVBand="0" w:oddHBand="0" w:evenHBand="0" w:firstRowFirstColumn="0" w:firstRowLastColumn="0" w:lastRowFirstColumn="0" w:lastRowLastColumn="0"/>
            </w:pPr>
          </w:p>
        </w:tc>
      </w:tr>
      <w:tr w:rsidR="00A621DC" w14:paraId="08DA27C2" w14:textId="77777777" w:rsidTr="001B4A16">
        <w:tc>
          <w:tcPr>
            <w:cnfStyle w:val="001000000000" w:firstRow="0" w:lastRow="0" w:firstColumn="1" w:lastColumn="0" w:oddVBand="0" w:evenVBand="0" w:oddHBand="0" w:evenHBand="0" w:firstRowFirstColumn="0" w:firstRowLastColumn="0" w:lastRowFirstColumn="0" w:lastRowLastColumn="0"/>
            <w:tcW w:w="1005" w:type="pct"/>
          </w:tcPr>
          <w:p w14:paraId="6E348068" w14:textId="6F371125" w:rsidR="009C4536" w:rsidRPr="009A65BB" w:rsidRDefault="009C4536" w:rsidP="009A65BB">
            <w:pPr>
              <w:pStyle w:val="TableCopy"/>
              <w:rPr>
                <w:b w:val="0"/>
              </w:rPr>
            </w:pPr>
            <w:r w:rsidRPr="00667940">
              <w:rPr>
                <w:rFonts w:eastAsia="Times New Roman"/>
              </w:rPr>
              <w:t xml:space="preserve">Rural </w:t>
            </w:r>
            <w:r w:rsidRPr="00ED56E5">
              <w:rPr>
                <w:rFonts w:eastAsia="Times New Roman"/>
              </w:rPr>
              <w:t>Pharmacy Scholarship Scheme</w:t>
            </w:r>
          </w:p>
        </w:tc>
        <w:tc>
          <w:tcPr>
            <w:tcW w:w="1331" w:type="pct"/>
          </w:tcPr>
          <w:p w14:paraId="6F2EF7C9" w14:textId="15177334" w:rsidR="009C4536" w:rsidRDefault="00667940" w:rsidP="009A65BB">
            <w:pPr>
              <w:pStyle w:val="TableCopy"/>
              <w:cnfStyle w:val="000000000000" w:firstRow="0" w:lastRow="0" w:firstColumn="0" w:lastColumn="0" w:oddVBand="0" w:evenVBand="0" w:oddHBand="0" w:evenHBand="0" w:firstRowFirstColumn="0" w:firstRowLastColumn="0" w:lastRowFirstColumn="0" w:lastRowLastColumn="0"/>
            </w:pPr>
            <w:r>
              <w:t>Aim</w:t>
            </w:r>
            <w:r w:rsidR="00162EE9">
              <w:t xml:space="preserve"> is evidence-based and the design is in line with other similar programs.</w:t>
            </w:r>
          </w:p>
        </w:tc>
        <w:tc>
          <w:tcPr>
            <w:tcW w:w="1496" w:type="pct"/>
          </w:tcPr>
          <w:p w14:paraId="77E4CA55" w14:textId="04DD82AB" w:rsidR="009C4536" w:rsidRDefault="00655440" w:rsidP="009A65BB">
            <w:pPr>
              <w:pStyle w:val="TableCopy"/>
              <w:cnfStyle w:val="000000000000" w:firstRow="0" w:lastRow="0" w:firstColumn="0" w:lastColumn="0" w:oddVBand="0" w:evenVBand="0" w:oddHBand="0" w:evenHBand="0" w:firstRowFirstColumn="0" w:firstRowLastColumn="0" w:lastRowFirstColumn="0" w:lastRowLastColumn="0"/>
            </w:pPr>
            <w:r>
              <w:t>E</w:t>
            </w:r>
            <w:r w:rsidR="00162EE9">
              <w:t xml:space="preserve">ffective in supporting rural students to attend university. </w:t>
            </w:r>
          </w:p>
        </w:tc>
        <w:tc>
          <w:tcPr>
            <w:tcW w:w="1168" w:type="pct"/>
          </w:tcPr>
          <w:p w14:paraId="1F3329E0" w14:textId="6FEF9635" w:rsidR="009C4536" w:rsidRDefault="00162EE9" w:rsidP="009A65BB">
            <w:pPr>
              <w:pStyle w:val="TableCopy"/>
              <w:cnfStyle w:val="000000000000" w:firstRow="0" w:lastRow="0" w:firstColumn="0" w:lastColumn="0" w:oddVBand="0" w:evenVBand="0" w:oddHBand="0" w:evenHBand="0" w:firstRowFirstColumn="0" w:firstRowLastColumn="0" w:lastRowFirstColumn="0" w:lastRowLastColumn="0"/>
            </w:pPr>
            <w:r>
              <w:t xml:space="preserve">Estimated overhead costs to administer the program was within an acceptable range. </w:t>
            </w:r>
          </w:p>
        </w:tc>
      </w:tr>
      <w:tr w:rsidR="00A621DC" w14:paraId="270D7A72" w14:textId="77777777" w:rsidTr="001B4A16">
        <w:tc>
          <w:tcPr>
            <w:cnfStyle w:val="001000000000" w:firstRow="0" w:lastRow="0" w:firstColumn="1" w:lastColumn="0" w:oddVBand="0" w:evenVBand="0" w:oddHBand="0" w:evenHBand="0" w:firstRowFirstColumn="0" w:firstRowLastColumn="0" w:lastRowFirstColumn="0" w:lastRowLastColumn="0"/>
            <w:tcW w:w="1005" w:type="pct"/>
          </w:tcPr>
          <w:p w14:paraId="3433E57D" w14:textId="2E999C66" w:rsidR="009C4536" w:rsidRPr="009A65BB" w:rsidRDefault="009C4536" w:rsidP="009A65BB">
            <w:pPr>
              <w:pStyle w:val="TableCopy"/>
              <w:rPr>
                <w:b w:val="0"/>
              </w:rPr>
            </w:pPr>
            <w:r w:rsidRPr="00667940">
              <w:rPr>
                <w:rFonts w:eastAsia="Times New Roman"/>
              </w:rPr>
              <w:t>Rural Pharmacy Scholarship Mentor Scheme</w:t>
            </w:r>
          </w:p>
        </w:tc>
        <w:tc>
          <w:tcPr>
            <w:tcW w:w="1331" w:type="pct"/>
          </w:tcPr>
          <w:p w14:paraId="45F7C619" w14:textId="65BE1BA7" w:rsidR="009C4536" w:rsidRDefault="00667940" w:rsidP="009A65BB">
            <w:pPr>
              <w:pStyle w:val="TableCopy"/>
              <w:cnfStyle w:val="000000000000" w:firstRow="0" w:lastRow="0" w:firstColumn="0" w:lastColumn="0" w:oddVBand="0" w:evenVBand="0" w:oddHBand="0" w:evenHBand="0" w:firstRowFirstColumn="0" w:firstRowLastColumn="0" w:lastRowFirstColumn="0" w:lastRowLastColumn="0"/>
            </w:pPr>
            <w:r>
              <w:t>Aim</w:t>
            </w:r>
            <w:r w:rsidR="00162EE9">
              <w:t xml:space="preserve"> is evidence-based and in line with similar programs.</w:t>
            </w:r>
          </w:p>
        </w:tc>
        <w:tc>
          <w:tcPr>
            <w:tcW w:w="1496" w:type="pct"/>
          </w:tcPr>
          <w:p w14:paraId="4D77972E" w14:textId="44CE5D1D" w:rsidR="009C4536" w:rsidRDefault="00655440" w:rsidP="009A65BB">
            <w:pPr>
              <w:pStyle w:val="TableCopy"/>
              <w:cnfStyle w:val="000000000000" w:firstRow="0" w:lastRow="0" w:firstColumn="0" w:lastColumn="0" w:oddVBand="0" w:evenVBand="0" w:oddHBand="0" w:evenHBand="0" w:firstRowFirstColumn="0" w:firstRowLastColumn="0" w:lastRowFirstColumn="0" w:lastRowLastColumn="0"/>
            </w:pPr>
            <w:r>
              <w:t>V</w:t>
            </w:r>
            <w:r w:rsidR="00532B44">
              <w:t>alued by participants. I</w:t>
            </w:r>
            <w:r>
              <w:t xml:space="preserve">nsufficient data to determine program’s influence on scholar’s rural practise. </w:t>
            </w:r>
          </w:p>
        </w:tc>
        <w:tc>
          <w:tcPr>
            <w:tcW w:w="1168" w:type="pct"/>
          </w:tcPr>
          <w:p w14:paraId="7FEFA157" w14:textId="629DCF1E" w:rsidR="009C4536" w:rsidRDefault="00162EE9" w:rsidP="009A65BB">
            <w:pPr>
              <w:pStyle w:val="TableCopy"/>
              <w:cnfStyle w:val="000000000000" w:firstRow="0" w:lastRow="0" w:firstColumn="0" w:lastColumn="0" w:oddVBand="0" w:evenVBand="0" w:oddHBand="0" w:evenHBand="0" w:firstRowFirstColumn="0" w:firstRowLastColumn="0" w:lastRowFirstColumn="0" w:lastRowLastColumn="0"/>
            </w:pPr>
            <w:r>
              <w:t xml:space="preserve">Estimated overhead costs to administer the program was </w:t>
            </w:r>
            <w:r w:rsidR="00655440">
              <w:t>outside</w:t>
            </w:r>
            <w:r>
              <w:t xml:space="preserve"> an acceptable range</w:t>
            </w:r>
            <w:r w:rsidR="00A621DC">
              <w:t xml:space="preserve"> (</w:t>
            </w:r>
            <w:r w:rsidR="00105556">
              <w:t xml:space="preserve">estimated at </w:t>
            </w:r>
            <w:r w:rsidR="00A621DC">
              <w:t>62% of total unit cost)</w:t>
            </w:r>
            <w:r>
              <w:t>.</w:t>
            </w:r>
          </w:p>
        </w:tc>
      </w:tr>
      <w:tr w:rsidR="00A621DC" w14:paraId="06EC55D2" w14:textId="77777777" w:rsidTr="001B4A16">
        <w:tc>
          <w:tcPr>
            <w:cnfStyle w:val="001000000000" w:firstRow="0" w:lastRow="0" w:firstColumn="1" w:lastColumn="0" w:oddVBand="0" w:evenVBand="0" w:oddHBand="0" w:evenHBand="0" w:firstRowFirstColumn="0" w:firstRowLastColumn="0" w:lastRowFirstColumn="0" w:lastRowLastColumn="0"/>
            <w:tcW w:w="1005" w:type="pct"/>
          </w:tcPr>
          <w:p w14:paraId="4B1F3A5C" w14:textId="54E77EA9" w:rsidR="00D64FA9" w:rsidRPr="009A65BB" w:rsidRDefault="00D64FA9" w:rsidP="009A65BB">
            <w:pPr>
              <w:pStyle w:val="TableCopy"/>
              <w:rPr>
                <w:b w:val="0"/>
              </w:rPr>
            </w:pPr>
            <w:r w:rsidRPr="00F91928">
              <w:rPr>
                <w:rFonts w:eastAsia="Times New Roman"/>
              </w:rPr>
              <w:t>Rural Pharmacy Student Placement Allowance</w:t>
            </w:r>
          </w:p>
        </w:tc>
        <w:tc>
          <w:tcPr>
            <w:tcW w:w="1331" w:type="pct"/>
          </w:tcPr>
          <w:p w14:paraId="080EB830" w14:textId="4FF2F0AF"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 xml:space="preserve">Evidence shows an underlying need. Supporting rural placements is backed by literature. </w:t>
            </w:r>
          </w:p>
        </w:tc>
        <w:tc>
          <w:tcPr>
            <w:tcW w:w="1496" w:type="pct"/>
          </w:tcPr>
          <w:p w14:paraId="37BCB7F8" w14:textId="01345E87"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 xml:space="preserve">Achieves its </w:t>
            </w:r>
            <w:r w:rsidR="00667940">
              <w:t>aim</w:t>
            </w:r>
            <w:r>
              <w:t xml:space="preserve"> to support students to undertake a rural placement. </w:t>
            </w:r>
          </w:p>
        </w:tc>
        <w:tc>
          <w:tcPr>
            <w:tcW w:w="1168" w:type="pct"/>
          </w:tcPr>
          <w:p w14:paraId="5DEA7737" w14:textId="7992C2B3"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Estimated overhead costs to administer the program was within an acceptable range.</w:t>
            </w:r>
          </w:p>
        </w:tc>
      </w:tr>
      <w:tr w:rsidR="00A621DC" w14:paraId="70E48136" w14:textId="77777777" w:rsidTr="001B4A16">
        <w:tc>
          <w:tcPr>
            <w:cnfStyle w:val="001000000000" w:firstRow="0" w:lastRow="0" w:firstColumn="1" w:lastColumn="0" w:oddVBand="0" w:evenVBand="0" w:oddHBand="0" w:evenHBand="0" w:firstRowFirstColumn="0" w:firstRowLastColumn="0" w:lastRowFirstColumn="0" w:lastRowLastColumn="0"/>
            <w:tcW w:w="1005" w:type="pct"/>
          </w:tcPr>
          <w:p w14:paraId="7689C4EE" w14:textId="44987629" w:rsidR="00D64FA9" w:rsidRPr="009A65BB" w:rsidRDefault="00D64FA9" w:rsidP="009A65BB">
            <w:pPr>
              <w:pStyle w:val="TableCopy"/>
              <w:rPr>
                <w:b w:val="0"/>
              </w:rPr>
            </w:pPr>
            <w:r w:rsidRPr="00667940">
              <w:rPr>
                <w:rFonts w:eastAsia="Times New Roman"/>
              </w:rPr>
              <w:t>Rural Intern Training Allowance</w:t>
            </w:r>
          </w:p>
        </w:tc>
        <w:tc>
          <w:tcPr>
            <w:tcW w:w="1331" w:type="pct"/>
          </w:tcPr>
          <w:p w14:paraId="1E54CB8F" w14:textId="4FBA5194"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 xml:space="preserve">Supporting rural internships is evidence-based. However, there was limited data to determine the most appropriate approach to support. </w:t>
            </w:r>
          </w:p>
        </w:tc>
        <w:tc>
          <w:tcPr>
            <w:tcW w:w="1496" w:type="pct"/>
          </w:tcPr>
          <w:p w14:paraId="3611F269" w14:textId="6338BC51"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 xml:space="preserve">Achieves its </w:t>
            </w:r>
            <w:r w:rsidR="00667940">
              <w:t>aim</w:t>
            </w:r>
            <w:r>
              <w:t xml:space="preserve"> to support rural interns to complete compulsory training. </w:t>
            </w:r>
          </w:p>
        </w:tc>
        <w:tc>
          <w:tcPr>
            <w:tcW w:w="1168" w:type="pct"/>
          </w:tcPr>
          <w:p w14:paraId="698D683B" w14:textId="3322AE1D"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Estimated overhead costs to administer the program was outside an acceptable range</w:t>
            </w:r>
            <w:r w:rsidR="00A621DC">
              <w:t xml:space="preserve"> (</w:t>
            </w:r>
            <w:r w:rsidR="00105556">
              <w:t xml:space="preserve">estimated at </w:t>
            </w:r>
            <w:r w:rsidR="00A621DC">
              <w:t>61% of total unit cost)</w:t>
            </w:r>
            <w:r>
              <w:t>.</w:t>
            </w:r>
          </w:p>
        </w:tc>
      </w:tr>
      <w:tr w:rsidR="001B4A16" w14:paraId="57DB56E4" w14:textId="77777777" w:rsidTr="001B4A16">
        <w:tc>
          <w:tcPr>
            <w:cnfStyle w:val="001000000000" w:firstRow="0" w:lastRow="0" w:firstColumn="1" w:lastColumn="0" w:oddVBand="0" w:evenVBand="0" w:oddHBand="0" w:evenHBand="0" w:firstRowFirstColumn="0" w:firstRowLastColumn="0" w:lastRowFirstColumn="0" w:lastRowLastColumn="0"/>
            <w:tcW w:w="1005" w:type="pct"/>
            <w:shd w:val="clear" w:color="auto" w:fill="000000" w:themeFill="text1"/>
          </w:tcPr>
          <w:p w14:paraId="7838435C" w14:textId="77777777" w:rsidR="001B4A16" w:rsidRPr="009A65BB" w:rsidRDefault="001B4A16" w:rsidP="009A65BB">
            <w:pPr>
              <w:pStyle w:val="TableCopy"/>
              <w:rPr>
                <w:b w:val="0"/>
                <w:color w:val="FFFFFF" w:themeColor="background1"/>
              </w:rPr>
            </w:pPr>
            <w:r w:rsidRPr="009A65BB">
              <w:rPr>
                <w:color w:val="FFFFFF" w:themeColor="background1"/>
              </w:rPr>
              <w:t xml:space="preserve">Retention </w:t>
            </w:r>
            <w:r>
              <w:rPr>
                <w:color w:val="FFFFFF" w:themeColor="background1"/>
              </w:rPr>
              <w:t>programs</w:t>
            </w:r>
          </w:p>
        </w:tc>
        <w:tc>
          <w:tcPr>
            <w:tcW w:w="1331" w:type="pct"/>
            <w:shd w:val="clear" w:color="auto" w:fill="000000" w:themeFill="text1"/>
          </w:tcPr>
          <w:p w14:paraId="217D22F3" w14:textId="77777777" w:rsidR="001B4A16" w:rsidRPr="009A65BB" w:rsidRDefault="001B4A16" w:rsidP="009A65BB">
            <w:pPr>
              <w:pStyle w:val="TableCopy"/>
              <w:cnfStyle w:val="000000000000" w:firstRow="0" w:lastRow="0" w:firstColumn="0" w:lastColumn="0" w:oddVBand="0" w:evenVBand="0" w:oddHBand="0" w:evenHBand="0" w:firstRowFirstColumn="0" w:firstRowLastColumn="0" w:lastRowFirstColumn="0" w:lastRowLastColumn="0"/>
              <w:rPr>
                <w:b/>
                <w:color w:val="FFFFFF" w:themeColor="background1"/>
              </w:rPr>
            </w:pPr>
          </w:p>
        </w:tc>
        <w:tc>
          <w:tcPr>
            <w:tcW w:w="1496" w:type="pct"/>
            <w:shd w:val="clear" w:color="auto" w:fill="000000" w:themeFill="text1"/>
          </w:tcPr>
          <w:p w14:paraId="58B287F0" w14:textId="77777777" w:rsidR="001B4A16" w:rsidRPr="009A65BB" w:rsidRDefault="001B4A16" w:rsidP="009A65BB">
            <w:pPr>
              <w:pStyle w:val="TableCopy"/>
              <w:cnfStyle w:val="000000000000" w:firstRow="0" w:lastRow="0" w:firstColumn="0" w:lastColumn="0" w:oddVBand="0" w:evenVBand="0" w:oddHBand="0" w:evenHBand="0" w:firstRowFirstColumn="0" w:firstRowLastColumn="0" w:lastRowFirstColumn="0" w:lastRowLastColumn="0"/>
              <w:rPr>
                <w:b/>
                <w:color w:val="FFFFFF" w:themeColor="background1"/>
              </w:rPr>
            </w:pPr>
          </w:p>
        </w:tc>
        <w:tc>
          <w:tcPr>
            <w:tcW w:w="1168" w:type="pct"/>
            <w:shd w:val="clear" w:color="auto" w:fill="000000" w:themeFill="text1"/>
          </w:tcPr>
          <w:p w14:paraId="51FFA7F6" w14:textId="105A6DF0" w:rsidR="001B4A16" w:rsidRPr="009A65BB" w:rsidRDefault="001B4A16" w:rsidP="009A65BB">
            <w:pPr>
              <w:pStyle w:val="TableCopy"/>
              <w:cnfStyle w:val="000000000000" w:firstRow="0" w:lastRow="0" w:firstColumn="0" w:lastColumn="0" w:oddVBand="0" w:evenVBand="0" w:oddHBand="0" w:evenHBand="0" w:firstRowFirstColumn="0" w:firstRowLastColumn="0" w:lastRowFirstColumn="0" w:lastRowLastColumn="0"/>
              <w:rPr>
                <w:color w:val="FFFFFF" w:themeColor="background1"/>
              </w:rPr>
            </w:pPr>
          </w:p>
        </w:tc>
      </w:tr>
      <w:tr w:rsidR="00A621DC" w14:paraId="51AD8097" w14:textId="77777777" w:rsidTr="001B4A16">
        <w:tc>
          <w:tcPr>
            <w:cnfStyle w:val="001000000000" w:firstRow="0" w:lastRow="0" w:firstColumn="1" w:lastColumn="0" w:oddVBand="0" w:evenVBand="0" w:oddHBand="0" w:evenHBand="0" w:firstRowFirstColumn="0" w:firstRowLastColumn="0" w:lastRowFirstColumn="0" w:lastRowLastColumn="0"/>
            <w:tcW w:w="1005" w:type="pct"/>
          </w:tcPr>
          <w:p w14:paraId="0564AAB6" w14:textId="294660B2" w:rsidR="00D64FA9" w:rsidRPr="00D64FA9" w:rsidRDefault="00D64FA9" w:rsidP="00D64FA9">
            <w:pPr>
              <w:pStyle w:val="TableCopy"/>
              <w:rPr>
                <w:rFonts w:eastAsia="Times New Roman"/>
              </w:rPr>
            </w:pPr>
            <w:r w:rsidRPr="00E94296">
              <w:rPr>
                <w:rFonts w:eastAsia="Times New Roman"/>
              </w:rPr>
              <w:t>Intern Incentive Allowance for Rural Pharmacies and Extension Program</w:t>
            </w:r>
          </w:p>
        </w:tc>
        <w:tc>
          <w:tcPr>
            <w:tcW w:w="1331" w:type="pct"/>
          </w:tcPr>
          <w:p w14:paraId="01F5B142" w14:textId="0BF85426" w:rsidR="00D64FA9" w:rsidRDefault="00D64FA9" w:rsidP="00D64FA9">
            <w:pPr>
              <w:pStyle w:val="TableCopy"/>
              <w:cnfStyle w:val="000000000000" w:firstRow="0" w:lastRow="0" w:firstColumn="0" w:lastColumn="0" w:oddVBand="0" w:evenVBand="0" w:oddHBand="0" w:evenHBand="0" w:firstRowFirstColumn="0" w:firstRowLastColumn="0" w:lastRowFirstColumn="0" w:lastRowLastColumn="0"/>
            </w:pPr>
            <w:r>
              <w:t>Supporting rural internships is evidence based. However, there was limited data to determine the most appropriate approach to support.</w:t>
            </w:r>
          </w:p>
        </w:tc>
        <w:tc>
          <w:tcPr>
            <w:tcW w:w="1496" w:type="pct"/>
          </w:tcPr>
          <w:p w14:paraId="499DD9BD" w14:textId="5E6DCE7E" w:rsidR="00D64FA9" w:rsidRDefault="00D64FA9" w:rsidP="00D64FA9">
            <w:pPr>
              <w:pStyle w:val="TableCopy"/>
              <w:cnfStyle w:val="000000000000" w:firstRow="0" w:lastRow="0" w:firstColumn="0" w:lastColumn="0" w:oddVBand="0" w:evenVBand="0" w:oddHBand="0" w:evenHBand="0" w:firstRowFirstColumn="0" w:firstRowLastColumn="0" w:lastRowFirstColumn="0" w:lastRowLastColumn="0"/>
            </w:pPr>
            <w:r>
              <w:t xml:space="preserve">Somewhat achieves its </w:t>
            </w:r>
            <w:r w:rsidR="00667940">
              <w:t>aim</w:t>
            </w:r>
            <w:r>
              <w:t xml:space="preserve"> to support pharmacists to employ an</w:t>
            </w:r>
            <w:r w:rsidR="00532B44">
              <w:t xml:space="preserve"> intern or graduate. I</w:t>
            </w:r>
            <w:r>
              <w:t xml:space="preserve">nsufficient data to determine </w:t>
            </w:r>
            <w:r w:rsidR="00532B44">
              <w:t xml:space="preserve">program’s </w:t>
            </w:r>
            <w:r>
              <w:t xml:space="preserve">impact compared to other drivers. </w:t>
            </w:r>
          </w:p>
        </w:tc>
        <w:tc>
          <w:tcPr>
            <w:tcW w:w="1168" w:type="pct"/>
          </w:tcPr>
          <w:p w14:paraId="47B6FA4F" w14:textId="1565EDF3" w:rsidR="00D64FA9" w:rsidRDefault="00D64FA9" w:rsidP="00D64FA9">
            <w:pPr>
              <w:pStyle w:val="TableCopy"/>
              <w:cnfStyle w:val="000000000000" w:firstRow="0" w:lastRow="0" w:firstColumn="0" w:lastColumn="0" w:oddVBand="0" w:evenVBand="0" w:oddHBand="0" w:evenHBand="0" w:firstRowFirstColumn="0" w:firstRowLastColumn="0" w:lastRowFirstColumn="0" w:lastRowLastColumn="0"/>
            </w:pPr>
            <w:r>
              <w:t>Estimated overhead costs to administer the program was within an acceptable range.</w:t>
            </w:r>
          </w:p>
        </w:tc>
      </w:tr>
      <w:tr w:rsidR="00A621DC" w14:paraId="50495533" w14:textId="77777777" w:rsidTr="001B4A16">
        <w:tc>
          <w:tcPr>
            <w:cnfStyle w:val="001000000000" w:firstRow="0" w:lastRow="0" w:firstColumn="1" w:lastColumn="0" w:oddVBand="0" w:evenVBand="0" w:oddHBand="0" w:evenHBand="0" w:firstRowFirstColumn="0" w:firstRowLastColumn="0" w:lastRowFirstColumn="0" w:lastRowLastColumn="0"/>
            <w:tcW w:w="1005" w:type="pct"/>
          </w:tcPr>
          <w:p w14:paraId="14A15075" w14:textId="5DD24A71" w:rsidR="00D64FA9" w:rsidRPr="009A65BB" w:rsidRDefault="00D64FA9" w:rsidP="009A65BB">
            <w:pPr>
              <w:pStyle w:val="TableCopy"/>
              <w:rPr>
                <w:b w:val="0"/>
              </w:rPr>
            </w:pPr>
            <w:r w:rsidRPr="005C3A04">
              <w:rPr>
                <w:rFonts w:eastAsia="Times New Roman"/>
              </w:rPr>
              <w:t>Continuing Professional Educational Allowance</w:t>
            </w:r>
          </w:p>
        </w:tc>
        <w:tc>
          <w:tcPr>
            <w:tcW w:w="1331" w:type="pct"/>
          </w:tcPr>
          <w:p w14:paraId="0B985400" w14:textId="2DC4A7FD"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 xml:space="preserve">Evidence shows an underlying need and the program </w:t>
            </w:r>
            <w:r w:rsidR="00667940">
              <w:t>aim</w:t>
            </w:r>
            <w:r>
              <w:t xml:space="preserve"> is in line with similar programs. </w:t>
            </w:r>
          </w:p>
        </w:tc>
        <w:tc>
          <w:tcPr>
            <w:tcW w:w="1496" w:type="pct"/>
          </w:tcPr>
          <w:p w14:paraId="6DDB4004" w14:textId="436F626A"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 xml:space="preserve">Achieves its </w:t>
            </w:r>
            <w:r w:rsidR="00667940">
              <w:t>aim</w:t>
            </w:r>
            <w:r>
              <w:t xml:space="preserve"> to support rural pharmacists to access CPE. Has not increased CPE delivered in rural areas. </w:t>
            </w:r>
          </w:p>
        </w:tc>
        <w:tc>
          <w:tcPr>
            <w:tcW w:w="1168" w:type="pct"/>
          </w:tcPr>
          <w:p w14:paraId="0F33C641" w14:textId="673228FF"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Estimated overhead costs to administer the program was outside an acceptable range</w:t>
            </w:r>
            <w:r w:rsidR="00A621DC">
              <w:t xml:space="preserve"> (</w:t>
            </w:r>
            <w:r w:rsidR="00105556">
              <w:t xml:space="preserve">estimated at </w:t>
            </w:r>
            <w:r w:rsidR="00A621DC">
              <w:t>56% of total unit cost)</w:t>
            </w:r>
            <w:r>
              <w:t>.</w:t>
            </w:r>
          </w:p>
        </w:tc>
      </w:tr>
      <w:tr w:rsidR="00A621DC" w14:paraId="370561B9" w14:textId="77777777" w:rsidTr="001B4A16">
        <w:tc>
          <w:tcPr>
            <w:cnfStyle w:val="001000000000" w:firstRow="0" w:lastRow="0" w:firstColumn="1" w:lastColumn="0" w:oddVBand="0" w:evenVBand="0" w:oddHBand="0" w:evenHBand="0" w:firstRowFirstColumn="0" w:firstRowLastColumn="0" w:lastRowFirstColumn="0" w:lastRowLastColumn="0"/>
            <w:tcW w:w="1005" w:type="pct"/>
          </w:tcPr>
          <w:p w14:paraId="2856581A" w14:textId="33985CB4" w:rsidR="00D64FA9" w:rsidRPr="009A65BB" w:rsidRDefault="00D64FA9" w:rsidP="009A65BB">
            <w:pPr>
              <w:pStyle w:val="TableCopy"/>
              <w:rPr>
                <w:b w:val="0"/>
              </w:rPr>
            </w:pPr>
            <w:r w:rsidRPr="006122BC">
              <w:rPr>
                <w:rFonts w:eastAsia="Times New Roman"/>
              </w:rPr>
              <w:t xml:space="preserve">Emergency Locum Service </w:t>
            </w:r>
          </w:p>
        </w:tc>
        <w:tc>
          <w:tcPr>
            <w:tcW w:w="1331" w:type="pct"/>
          </w:tcPr>
          <w:p w14:paraId="137E975E" w14:textId="22C75C51"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 xml:space="preserve">Evidence shows </w:t>
            </w:r>
            <w:r w:rsidR="00532B44">
              <w:t>an underlying need. The</w:t>
            </w:r>
            <w:r>
              <w:t xml:space="preserve"> need for locums also exists outside emergency situations. </w:t>
            </w:r>
          </w:p>
        </w:tc>
        <w:tc>
          <w:tcPr>
            <w:tcW w:w="1496" w:type="pct"/>
          </w:tcPr>
          <w:p w14:paraId="7A81B448" w14:textId="1129DB70"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 xml:space="preserve">Achieves its </w:t>
            </w:r>
            <w:r w:rsidR="00667940">
              <w:t>aim</w:t>
            </w:r>
            <w:r>
              <w:t xml:space="preserve"> to support rural pharmacies to remain open during periods of absence. </w:t>
            </w:r>
          </w:p>
        </w:tc>
        <w:tc>
          <w:tcPr>
            <w:tcW w:w="1168" w:type="pct"/>
          </w:tcPr>
          <w:p w14:paraId="5CEE24C4" w14:textId="6F36A1FF"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Estimated overhead costs to administer the program was within an acceptable range.</w:t>
            </w:r>
          </w:p>
        </w:tc>
      </w:tr>
      <w:tr w:rsidR="001B4A16" w14:paraId="7A684F35" w14:textId="77777777" w:rsidTr="001B4A16">
        <w:tc>
          <w:tcPr>
            <w:cnfStyle w:val="001000000000" w:firstRow="0" w:lastRow="0" w:firstColumn="1" w:lastColumn="0" w:oddVBand="0" w:evenVBand="0" w:oddHBand="0" w:evenHBand="0" w:firstRowFirstColumn="0" w:firstRowLastColumn="0" w:lastRowFirstColumn="0" w:lastRowLastColumn="0"/>
            <w:tcW w:w="1005" w:type="pct"/>
            <w:shd w:val="clear" w:color="auto" w:fill="000000" w:themeFill="text1"/>
          </w:tcPr>
          <w:p w14:paraId="79B0D4EF" w14:textId="77777777" w:rsidR="001B4A16" w:rsidRPr="009A65BB" w:rsidRDefault="001B4A16" w:rsidP="00D64FA9">
            <w:pPr>
              <w:pStyle w:val="TableCopy"/>
              <w:rPr>
                <w:color w:val="FFFFFF" w:themeColor="background1"/>
              </w:rPr>
            </w:pPr>
            <w:r w:rsidRPr="009A65BB">
              <w:rPr>
                <w:rFonts w:eastAsia="Times New Roman"/>
                <w:color w:val="FFFFFF" w:themeColor="background1"/>
              </w:rPr>
              <w:t xml:space="preserve">Other support </w:t>
            </w:r>
            <w:r>
              <w:rPr>
                <w:rFonts w:eastAsia="Times New Roman"/>
                <w:color w:val="FFFFFF" w:themeColor="background1"/>
              </w:rPr>
              <w:t>programs</w:t>
            </w:r>
          </w:p>
        </w:tc>
        <w:tc>
          <w:tcPr>
            <w:tcW w:w="1331" w:type="pct"/>
            <w:shd w:val="clear" w:color="auto" w:fill="000000" w:themeFill="text1"/>
          </w:tcPr>
          <w:p w14:paraId="0FE5DF4C" w14:textId="77777777" w:rsidR="001B4A16" w:rsidRPr="009A65BB" w:rsidRDefault="001B4A16" w:rsidP="00D64FA9">
            <w:pPr>
              <w:pStyle w:val="TableCopy"/>
              <w:cnfStyle w:val="000000000000" w:firstRow="0" w:lastRow="0" w:firstColumn="0" w:lastColumn="0" w:oddVBand="0" w:evenVBand="0" w:oddHBand="0" w:evenHBand="0" w:firstRowFirstColumn="0" w:firstRowLastColumn="0" w:lastRowFirstColumn="0" w:lastRowLastColumn="0"/>
              <w:rPr>
                <w:color w:val="FFFFFF" w:themeColor="background1"/>
              </w:rPr>
            </w:pPr>
          </w:p>
        </w:tc>
        <w:tc>
          <w:tcPr>
            <w:tcW w:w="1496" w:type="pct"/>
            <w:shd w:val="clear" w:color="auto" w:fill="000000" w:themeFill="text1"/>
          </w:tcPr>
          <w:p w14:paraId="00B40D80" w14:textId="77777777" w:rsidR="001B4A16" w:rsidRPr="009A65BB" w:rsidRDefault="001B4A16" w:rsidP="00D64FA9">
            <w:pPr>
              <w:pStyle w:val="TableCopy"/>
              <w:cnfStyle w:val="000000000000" w:firstRow="0" w:lastRow="0" w:firstColumn="0" w:lastColumn="0" w:oddVBand="0" w:evenVBand="0" w:oddHBand="0" w:evenHBand="0" w:firstRowFirstColumn="0" w:firstRowLastColumn="0" w:lastRowFirstColumn="0" w:lastRowLastColumn="0"/>
              <w:rPr>
                <w:color w:val="FFFFFF" w:themeColor="background1"/>
              </w:rPr>
            </w:pPr>
          </w:p>
        </w:tc>
        <w:tc>
          <w:tcPr>
            <w:tcW w:w="1168" w:type="pct"/>
            <w:shd w:val="clear" w:color="auto" w:fill="000000" w:themeFill="text1"/>
          </w:tcPr>
          <w:p w14:paraId="443683BA" w14:textId="38FA6992" w:rsidR="001B4A16" w:rsidRPr="009A65BB" w:rsidRDefault="001B4A16" w:rsidP="00D64FA9">
            <w:pPr>
              <w:pStyle w:val="TableCopy"/>
              <w:cnfStyle w:val="000000000000" w:firstRow="0" w:lastRow="0" w:firstColumn="0" w:lastColumn="0" w:oddVBand="0" w:evenVBand="0" w:oddHBand="0" w:evenHBand="0" w:firstRowFirstColumn="0" w:firstRowLastColumn="0" w:lastRowFirstColumn="0" w:lastRowLastColumn="0"/>
              <w:rPr>
                <w:b/>
                <w:color w:val="FFFFFF" w:themeColor="background1"/>
              </w:rPr>
            </w:pPr>
          </w:p>
        </w:tc>
      </w:tr>
      <w:tr w:rsidR="00A621DC" w14:paraId="68927E5D" w14:textId="77777777" w:rsidTr="001B4A16">
        <w:tc>
          <w:tcPr>
            <w:cnfStyle w:val="001000000000" w:firstRow="0" w:lastRow="0" w:firstColumn="1" w:lastColumn="0" w:oddVBand="0" w:evenVBand="0" w:oddHBand="0" w:evenHBand="0" w:firstRowFirstColumn="0" w:firstRowLastColumn="0" w:lastRowFirstColumn="0" w:lastRowLastColumn="0"/>
            <w:tcW w:w="1005" w:type="pct"/>
          </w:tcPr>
          <w:p w14:paraId="6482CCF9" w14:textId="237C2082" w:rsidR="00D64FA9" w:rsidRPr="009A65BB" w:rsidRDefault="00D64FA9" w:rsidP="009A65BB">
            <w:pPr>
              <w:pStyle w:val="TableCopy"/>
              <w:rPr>
                <w:b w:val="0"/>
              </w:rPr>
            </w:pPr>
            <w:r w:rsidRPr="00667940">
              <w:rPr>
                <w:rFonts w:eastAsia="Times New Roman"/>
              </w:rPr>
              <w:t>Rural Pharmacy Liaison Officer Program</w:t>
            </w:r>
          </w:p>
        </w:tc>
        <w:tc>
          <w:tcPr>
            <w:tcW w:w="1331" w:type="pct"/>
          </w:tcPr>
          <w:p w14:paraId="08FE5356" w14:textId="2414CAE0"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 xml:space="preserve">Evidence shows an underlying need and the program </w:t>
            </w:r>
            <w:r w:rsidR="00667940">
              <w:t>aim</w:t>
            </w:r>
            <w:r>
              <w:t xml:space="preserve"> is in line with similar programs. </w:t>
            </w:r>
          </w:p>
        </w:tc>
        <w:tc>
          <w:tcPr>
            <w:tcW w:w="1496" w:type="pct"/>
          </w:tcPr>
          <w:p w14:paraId="1FCFCCC8" w14:textId="2BBF26A6"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 xml:space="preserve">Highly valued program. However, it is restricted by scope of the role and administration arrangements. </w:t>
            </w:r>
          </w:p>
        </w:tc>
        <w:tc>
          <w:tcPr>
            <w:tcW w:w="1168" w:type="pct"/>
          </w:tcPr>
          <w:p w14:paraId="01EFD386" w14:textId="7A02E52E"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Estimated overhead costs to administer the program was within an acceptable range.</w:t>
            </w:r>
          </w:p>
        </w:tc>
      </w:tr>
      <w:tr w:rsidR="00A621DC" w14:paraId="4959794B" w14:textId="77777777" w:rsidTr="001B4A16">
        <w:tc>
          <w:tcPr>
            <w:cnfStyle w:val="001000000000" w:firstRow="0" w:lastRow="0" w:firstColumn="1" w:lastColumn="0" w:oddVBand="0" w:evenVBand="0" w:oddHBand="0" w:evenHBand="0" w:firstRowFirstColumn="0" w:firstRowLastColumn="0" w:lastRowFirstColumn="0" w:lastRowLastColumn="0"/>
            <w:tcW w:w="1005" w:type="pct"/>
          </w:tcPr>
          <w:p w14:paraId="5706A8F4" w14:textId="32931D3B" w:rsidR="00D64FA9" w:rsidRPr="009A65BB" w:rsidRDefault="00D64FA9" w:rsidP="009A65BB">
            <w:pPr>
              <w:pStyle w:val="TableCopy"/>
              <w:rPr>
                <w:b w:val="0"/>
              </w:rPr>
            </w:pPr>
            <w:r w:rsidRPr="00E94296">
              <w:rPr>
                <w:rFonts w:eastAsia="Times New Roman"/>
              </w:rPr>
              <w:t>Administrative Support to Pharmacy Schools</w:t>
            </w:r>
          </w:p>
        </w:tc>
        <w:tc>
          <w:tcPr>
            <w:tcW w:w="1331" w:type="pct"/>
          </w:tcPr>
          <w:p w14:paraId="358C6A17" w14:textId="50D53A59"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 xml:space="preserve">Supporting rural placements is evidence-based. However, there was limited data to determine the most appropriate approach to support. </w:t>
            </w:r>
          </w:p>
        </w:tc>
        <w:tc>
          <w:tcPr>
            <w:tcW w:w="1496" w:type="pct"/>
          </w:tcPr>
          <w:p w14:paraId="66CEB8D6" w14:textId="1FBE657E"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 xml:space="preserve">Achieves its </w:t>
            </w:r>
            <w:r w:rsidR="00667940">
              <w:t>aim</w:t>
            </w:r>
            <w:r>
              <w:t xml:space="preserve"> of supporting students to undertake a rural placement. However, program volumes decreased over the 5CPA. </w:t>
            </w:r>
          </w:p>
        </w:tc>
        <w:tc>
          <w:tcPr>
            <w:tcW w:w="1168" w:type="pct"/>
          </w:tcPr>
          <w:p w14:paraId="2395EAB2" w14:textId="7FC565B9"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Estimated overhead costs to administer the program was within an acceptable range.</w:t>
            </w:r>
          </w:p>
        </w:tc>
      </w:tr>
      <w:tr w:rsidR="001B4A16" w14:paraId="2559BAD9" w14:textId="77777777" w:rsidTr="001B4A16">
        <w:tc>
          <w:tcPr>
            <w:cnfStyle w:val="001000000000" w:firstRow="0" w:lastRow="0" w:firstColumn="1" w:lastColumn="0" w:oddVBand="0" w:evenVBand="0" w:oddHBand="0" w:evenHBand="0" w:firstRowFirstColumn="0" w:firstRowLastColumn="0" w:lastRowFirstColumn="0" w:lastRowLastColumn="0"/>
            <w:tcW w:w="1005" w:type="pct"/>
            <w:shd w:val="clear" w:color="auto" w:fill="000000" w:themeFill="text1"/>
          </w:tcPr>
          <w:p w14:paraId="655E302D" w14:textId="77777777" w:rsidR="001B4A16" w:rsidRPr="009A65BB" w:rsidRDefault="001B4A16" w:rsidP="00D64FA9">
            <w:pPr>
              <w:pStyle w:val="TableCopy"/>
              <w:rPr>
                <w:color w:val="FFFFFF" w:themeColor="background1"/>
              </w:rPr>
            </w:pPr>
            <w:r>
              <w:rPr>
                <w:rFonts w:eastAsia="Times New Roman"/>
                <w:color w:val="FFFFFF" w:themeColor="background1"/>
              </w:rPr>
              <w:t>Programs</w:t>
            </w:r>
            <w:r w:rsidRPr="009A65BB">
              <w:rPr>
                <w:rFonts w:eastAsia="Times New Roman"/>
                <w:color w:val="FFFFFF" w:themeColor="background1"/>
              </w:rPr>
              <w:t xml:space="preserve"> to increase access to culturally appropriate services</w:t>
            </w:r>
          </w:p>
        </w:tc>
        <w:tc>
          <w:tcPr>
            <w:tcW w:w="1331" w:type="pct"/>
            <w:shd w:val="clear" w:color="auto" w:fill="000000" w:themeFill="text1"/>
          </w:tcPr>
          <w:p w14:paraId="696B1D77" w14:textId="77777777" w:rsidR="001B4A16" w:rsidRPr="009A65BB" w:rsidRDefault="001B4A16" w:rsidP="00D64FA9">
            <w:pPr>
              <w:pStyle w:val="TableCopy"/>
              <w:cnfStyle w:val="000000000000" w:firstRow="0" w:lastRow="0" w:firstColumn="0" w:lastColumn="0" w:oddVBand="0" w:evenVBand="0" w:oddHBand="0" w:evenHBand="0" w:firstRowFirstColumn="0" w:firstRowLastColumn="0" w:lastRowFirstColumn="0" w:lastRowLastColumn="0"/>
              <w:rPr>
                <w:color w:val="FFFFFF" w:themeColor="background1"/>
              </w:rPr>
            </w:pPr>
          </w:p>
        </w:tc>
        <w:tc>
          <w:tcPr>
            <w:tcW w:w="1496" w:type="pct"/>
            <w:shd w:val="clear" w:color="auto" w:fill="000000" w:themeFill="text1"/>
          </w:tcPr>
          <w:p w14:paraId="4D564661" w14:textId="77777777" w:rsidR="001B4A16" w:rsidRPr="009A65BB" w:rsidRDefault="001B4A16" w:rsidP="00D64FA9">
            <w:pPr>
              <w:pStyle w:val="TableCopy"/>
              <w:cnfStyle w:val="000000000000" w:firstRow="0" w:lastRow="0" w:firstColumn="0" w:lastColumn="0" w:oddVBand="0" w:evenVBand="0" w:oddHBand="0" w:evenHBand="0" w:firstRowFirstColumn="0" w:firstRowLastColumn="0" w:lastRowFirstColumn="0" w:lastRowLastColumn="0"/>
              <w:rPr>
                <w:color w:val="FFFFFF" w:themeColor="background1"/>
              </w:rPr>
            </w:pPr>
          </w:p>
        </w:tc>
        <w:tc>
          <w:tcPr>
            <w:tcW w:w="1168" w:type="pct"/>
            <w:shd w:val="clear" w:color="auto" w:fill="000000" w:themeFill="text1"/>
          </w:tcPr>
          <w:p w14:paraId="3D9C0432" w14:textId="1658BD2D" w:rsidR="001B4A16" w:rsidRPr="009A65BB" w:rsidRDefault="001B4A16" w:rsidP="00D64FA9">
            <w:pPr>
              <w:pStyle w:val="TableCopy"/>
              <w:cnfStyle w:val="000000000000" w:firstRow="0" w:lastRow="0" w:firstColumn="0" w:lastColumn="0" w:oddVBand="0" w:evenVBand="0" w:oddHBand="0" w:evenHBand="0" w:firstRowFirstColumn="0" w:firstRowLastColumn="0" w:lastRowFirstColumn="0" w:lastRowLastColumn="0"/>
              <w:rPr>
                <w:b/>
                <w:color w:val="FFFFFF" w:themeColor="background1"/>
              </w:rPr>
            </w:pPr>
          </w:p>
        </w:tc>
      </w:tr>
      <w:tr w:rsidR="00A621DC" w14:paraId="2517E24C" w14:textId="77777777" w:rsidTr="001B4A16">
        <w:tc>
          <w:tcPr>
            <w:cnfStyle w:val="001000000000" w:firstRow="0" w:lastRow="0" w:firstColumn="1" w:lastColumn="0" w:oddVBand="0" w:evenVBand="0" w:oddHBand="0" w:evenHBand="0" w:firstRowFirstColumn="0" w:firstRowLastColumn="0" w:lastRowFirstColumn="0" w:lastRowLastColumn="0"/>
            <w:tcW w:w="1005" w:type="pct"/>
          </w:tcPr>
          <w:p w14:paraId="088F08CB" w14:textId="176A1BAF" w:rsidR="00D64FA9" w:rsidRPr="009A65BB" w:rsidRDefault="00D64FA9" w:rsidP="009A65BB">
            <w:pPr>
              <w:pStyle w:val="TableCopy"/>
              <w:rPr>
                <w:b w:val="0"/>
              </w:rPr>
            </w:pPr>
            <w:r w:rsidRPr="00667940">
              <w:rPr>
                <w:rFonts w:eastAsia="Times New Roman"/>
              </w:rPr>
              <w:t xml:space="preserve">Aboriginal and Torres Strait </w:t>
            </w:r>
            <w:r w:rsidRPr="00ED56E5">
              <w:rPr>
                <w:rFonts w:eastAsia="Times New Roman"/>
              </w:rPr>
              <w:t>Islander Pharmacy Assistant Traineeship Scheme</w:t>
            </w:r>
          </w:p>
        </w:tc>
        <w:tc>
          <w:tcPr>
            <w:tcW w:w="1331" w:type="pct"/>
          </w:tcPr>
          <w:p w14:paraId="7250FF5A" w14:textId="04C1BD87" w:rsidR="00D64FA9" w:rsidRDefault="00667940" w:rsidP="009A65BB">
            <w:pPr>
              <w:pStyle w:val="TableCopy"/>
              <w:cnfStyle w:val="000000000000" w:firstRow="0" w:lastRow="0" w:firstColumn="0" w:lastColumn="0" w:oddVBand="0" w:evenVBand="0" w:oddHBand="0" w:evenHBand="0" w:firstRowFirstColumn="0" w:firstRowLastColumn="0" w:lastRowFirstColumn="0" w:lastRowLastColumn="0"/>
            </w:pPr>
            <w:r>
              <w:t>Aim</w:t>
            </w:r>
            <w:r w:rsidR="00D64FA9">
              <w:t xml:space="preserve"> is supported by stakeholders in-principle. However, it is unclear if community consultation informed this </w:t>
            </w:r>
            <w:r>
              <w:t>aim</w:t>
            </w:r>
            <w:r w:rsidR="00D64FA9">
              <w:t xml:space="preserve">. </w:t>
            </w:r>
          </w:p>
        </w:tc>
        <w:tc>
          <w:tcPr>
            <w:tcW w:w="1496" w:type="pct"/>
          </w:tcPr>
          <w:p w14:paraId="286114F6" w14:textId="6F150C2C"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 xml:space="preserve">Valued by participants. However, data is insufficient to comment on whether the program contributed to access to culturally appropriate pharmacy services. </w:t>
            </w:r>
          </w:p>
        </w:tc>
        <w:tc>
          <w:tcPr>
            <w:tcW w:w="1168" w:type="pct"/>
          </w:tcPr>
          <w:p w14:paraId="2F6DDF2F" w14:textId="4277CE08"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Estimated overhead costs to administer the program was within an acceptable range.</w:t>
            </w:r>
          </w:p>
        </w:tc>
      </w:tr>
      <w:tr w:rsidR="00A621DC" w14:paraId="17E3E6A8" w14:textId="77777777" w:rsidTr="001B4A16">
        <w:tc>
          <w:tcPr>
            <w:cnfStyle w:val="001000000000" w:firstRow="0" w:lastRow="0" w:firstColumn="1" w:lastColumn="0" w:oddVBand="0" w:evenVBand="0" w:oddHBand="0" w:evenHBand="0" w:firstRowFirstColumn="0" w:firstRowLastColumn="0" w:lastRowFirstColumn="0" w:lastRowLastColumn="0"/>
            <w:tcW w:w="1005" w:type="pct"/>
          </w:tcPr>
          <w:p w14:paraId="20513762" w14:textId="1D8EC2D7" w:rsidR="00D64FA9" w:rsidRPr="009A65BB" w:rsidRDefault="00D64FA9" w:rsidP="009A65BB">
            <w:pPr>
              <w:pStyle w:val="TableCopy"/>
              <w:rPr>
                <w:b w:val="0"/>
              </w:rPr>
            </w:pPr>
            <w:r w:rsidRPr="00667940">
              <w:rPr>
                <w:rFonts w:eastAsia="Times New Roman"/>
              </w:rPr>
              <w:lastRenderedPageBreak/>
              <w:t>Aboriginal and Torres Strait Islander Pharmacy Scholarship Scheme</w:t>
            </w:r>
          </w:p>
        </w:tc>
        <w:tc>
          <w:tcPr>
            <w:tcW w:w="1331" w:type="pct"/>
          </w:tcPr>
          <w:p w14:paraId="66C65FCC" w14:textId="3B83B2CC" w:rsidR="00D64FA9" w:rsidRDefault="00667940" w:rsidP="009A65BB">
            <w:pPr>
              <w:pStyle w:val="TableCopy"/>
              <w:cnfStyle w:val="000000000000" w:firstRow="0" w:lastRow="0" w:firstColumn="0" w:lastColumn="0" w:oddVBand="0" w:evenVBand="0" w:oddHBand="0" w:evenHBand="0" w:firstRowFirstColumn="0" w:firstRowLastColumn="0" w:lastRowFirstColumn="0" w:lastRowLastColumn="0"/>
            </w:pPr>
            <w:r>
              <w:t>Aim</w:t>
            </w:r>
            <w:r w:rsidR="00D64FA9">
              <w:t xml:space="preserve"> is supported by stakeholders in-principle. However, it is unclear if community consultation informed this </w:t>
            </w:r>
            <w:r>
              <w:t>aim</w:t>
            </w:r>
            <w:r w:rsidR="00D64FA9">
              <w:t>.</w:t>
            </w:r>
          </w:p>
        </w:tc>
        <w:tc>
          <w:tcPr>
            <w:tcW w:w="1496" w:type="pct"/>
          </w:tcPr>
          <w:p w14:paraId="635613F6" w14:textId="6E018994"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Increases workforce numbers. However, there was insufficient data to determine if this facilitated increased access to culturally appropriate services.</w:t>
            </w:r>
          </w:p>
        </w:tc>
        <w:tc>
          <w:tcPr>
            <w:tcW w:w="1168" w:type="pct"/>
          </w:tcPr>
          <w:p w14:paraId="7848B20F" w14:textId="6BA14A17"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Estimated overhead costs to administer the program was within an acceptable range.</w:t>
            </w:r>
          </w:p>
        </w:tc>
      </w:tr>
    </w:tbl>
    <w:p w14:paraId="67D19891" w14:textId="77777777" w:rsidR="009C4536" w:rsidRPr="009C4536" w:rsidRDefault="009C4536" w:rsidP="009C4536">
      <w:pPr>
        <w:pStyle w:val="BodyCopy"/>
      </w:pPr>
    </w:p>
    <w:p w14:paraId="07526EA8" w14:textId="77777777" w:rsidR="009C4536" w:rsidRDefault="009C4536" w:rsidP="00691A85">
      <w:pPr>
        <w:pStyle w:val="BodyCopy"/>
        <w:sectPr w:rsidR="009C4536" w:rsidSect="00131F31">
          <w:type w:val="continuous"/>
          <w:pgSz w:w="16840" w:h="11901" w:orient="landscape" w:code="9"/>
          <w:pgMar w:top="2268" w:right="1304" w:bottom="851" w:left="737" w:header="567" w:footer="284" w:gutter="0"/>
          <w:pgNumType w:fmt="lowerRoman"/>
          <w:cols w:space="708"/>
          <w:formProt w:val="0"/>
          <w:docGrid w:linePitch="272"/>
        </w:sectPr>
      </w:pPr>
    </w:p>
    <w:p w14:paraId="77303664" w14:textId="6A77FBFE" w:rsidR="00572E9A" w:rsidRDefault="005F593D" w:rsidP="005F593D">
      <w:pPr>
        <w:pStyle w:val="ESHeading3"/>
      </w:pPr>
      <w:r>
        <w:t>Options for improved program operation</w:t>
      </w:r>
    </w:p>
    <w:p w14:paraId="5FB210CA" w14:textId="25966C9D" w:rsidR="005F593D" w:rsidRDefault="00C412BA" w:rsidP="005F593D">
      <w:pPr>
        <w:pStyle w:val="BodyCopy"/>
      </w:pPr>
      <w:r>
        <w:t xml:space="preserve">Data analysis and consultation activities revealed a number of limitations with the programs in their current state. These ranged from program-specific issues including restrictive eligibility criteria, impractical program rules or administration issues. These program-specific issues are summarised in </w:t>
      </w:r>
      <w:r w:rsidR="0089011F">
        <w:t>the</w:t>
      </w:r>
      <w:r w:rsidR="0089011F" w:rsidRPr="0089011F">
        <w:rPr>
          <w:i/>
        </w:rPr>
        <w:t xml:space="preserve"> Main Report.</w:t>
      </w:r>
    </w:p>
    <w:p w14:paraId="585FFE8D" w14:textId="2955F50D" w:rsidR="00C412BA" w:rsidRDefault="00C412BA" w:rsidP="005F593D">
      <w:pPr>
        <w:pStyle w:val="BodyCopy"/>
      </w:pPr>
      <w:r>
        <w:t>The use of the Pharmacy Accessibility Remoteness Index (</w:t>
      </w:r>
      <w:proofErr w:type="spellStart"/>
      <w:r>
        <w:t>PhARIA</w:t>
      </w:r>
      <w:proofErr w:type="spellEnd"/>
      <w:r>
        <w:t xml:space="preserve">) to classify eligible rural locations has resulted in complications for a number of programs, including the Rural Pharmacy Scholarship Scheme, the Rural Pharmacy Student Placement Allowance, the Continuing Professional Education Allowance and the Intern Incentive Allowance for Rural Pharmacies and Extension Program. Several of these programs aim to alleviate the financial burden experienced by pharmacy students or pharmacists who must travel to attend training or other professional experiences. </w:t>
      </w:r>
      <w:r w:rsidR="001832EF">
        <w:t xml:space="preserve">Applying the </w:t>
      </w:r>
      <w:proofErr w:type="spellStart"/>
      <w:r w:rsidR="001832EF">
        <w:t>PhARIA</w:t>
      </w:r>
      <w:proofErr w:type="spellEnd"/>
      <w:r w:rsidR="001832EF">
        <w:t xml:space="preserve"> system to these programs excludes pharmacists or students travelling between </w:t>
      </w:r>
      <w:proofErr w:type="spellStart"/>
      <w:r w:rsidR="001832EF">
        <w:t>PhARIA</w:t>
      </w:r>
      <w:proofErr w:type="spellEnd"/>
      <w:r w:rsidR="001832EF">
        <w:t xml:space="preserve"> 1 regional areas and major cities.</w:t>
      </w:r>
    </w:p>
    <w:p w14:paraId="010A3787" w14:textId="77777777" w:rsidR="00A4318E" w:rsidRDefault="001832EF" w:rsidP="005F593D">
      <w:pPr>
        <w:pStyle w:val="BodyCopy"/>
        <w:sectPr w:rsidR="00A4318E" w:rsidSect="009C4536">
          <w:type w:val="continuous"/>
          <w:pgSz w:w="16840" w:h="11901" w:orient="landscape" w:code="9"/>
          <w:pgMar w:top="2268" w:right="1304" w:bottom="851" w:left="737" w:header="567" w:footer="284" w:gutter="0"/>
          <w:pgNumType w:fmt="lowerRoman" w:start="1"/>
          <w:cols w:num="2" w:space="708"/>
          <w:formProt w:val="0"/>
          <w:docGrid w:linePitch="272"/>
        </w:sectPr>
      </w:pPr>
      <w:r>
        <w:t>Another broad issue was the promotion of the Rural Pharmacy Workforce Programs and the Aboriginal and Torres Strait Islander Workforce Programs. Consultations revealed a lack of awareness of several programs, in particular, the Rural Intern Training Allowance, the Emergency Locum Service and the Aboriginal and Torres Strait Islander Pharmacy Assistant Traineeship Scheme. Several programs would benefit from targeted promotion to secondary and tertiary students and practising community pharmacists.</w:t>
      </w:r>
    </w:p>
    <w:p w14:paraId="608F51EE" w14:textId="7F0D5515" w:rsidR="00D65A8F" w:rsidRDefault="00D65A8F" w:rsidP="00D65A8F">
      <w:pPr>
        <w:pStyle w:val="Heading1"/>
      </w:pPr>
      <w:bookmarkStart w:id="4" w:name="_Toc523318790"/>
      <w:r w:rsidRPr="005C2B84">
        <w:lastRenderedPageBreak/>
        <w:t>Introduction</w:t>
      </w:r>
      <w:bookmarkEnd w:id="4"/>
    </w:p>
    <w:p w14:paraId="154D52C6" w14:textId="218403B7" w:rsidR="005C2B84" w:rsidRDefault="005C2B84" w:rsidP="005C2B84">
      <w:pPr>
        <w:pStyle w:val="Heading2"/>
        <w:spacing w:before="0"/>
      </w:pPr>
      <w:bookmarkStart w:id="5" w:name="_Toc523318791"/>
      <w:r>
        <w:t>project background</w:t>
      </w:r>
      <w:bookmarkEnd w:id="5"/>
    </w:p>
    <w:p w14:paraId="526D35FE" w14:textId="77777777" w:rsidR="005C2B84" w:rsidRPr="00E00D3A" w:rsidRDefault="005C2B84" w:rsidP="005C2B84">
      <w:pPr>
        <w:pStyle w:val="BodyCopy"/>
      </w:pPr>
      <w:r w:rsidRPr="00E00D3A">
        <w:t>The Australian Government Department of Health (the Department) has engaged Healthcare Management Advisors (HMA) to provide a:</w:t>
      </w:r>
    </w:p>
    <w:p w14:paraId="42BD36BA" w14:textId="77777777" w:rsidR="005C2B84" w:rsidRPr="00E00D3A" w:rsidRDefault="005C2B84" w:rsidP="005C2B84">
      <w:pPr>
        <w:pStyle w:val="BodyCopyIndented"/>
      </w:pPr>
      <w:r w:rsidRPr="00E00D3A">
        <w:rPr>
          <w:rStyle w:val="QuoteChar"/>
        </w:rPr>
        <w:t>“cost-effectiveness review into ongoing pharmacy workforce programs.”</w:t>
      </w:r>
      <w:r w:rsidRPr="00E00D3A">
        <w:t xml:space="preserve"> </w:t>
      </w:r>
    </w:p>
    <w:p w14:paraId="6FE95529" w14:textId="7B0CF544" w:rsidR="005C2B84" w:rsidRPr="00E00D3A" w:rsidRDefault="005C2B84" w:rsidP="005C2B84">
      <w:pPr>
        <w:pStyle w:val="BodyCopy"/>
      </w:pPr>
      <w:r w:rsidRPr="00E00D3A">
        <w:t xml:space="preserve">The Sixth Community Pharmacy Agreement (6CPA) between the Australian Government and The Pharmacy Guild of Australia (The Guild) has ‘indicative allocations for community pharmacy programs’ with a total value of </w:t>
      </w:r>
      <w:r w:rsidRPr="00E00D3A">
        <w:rPr>
          <w:rFonts w:ascii="Times New Roman" w:hAnsi="Times New Roman"/>
        </w:rPr>
        <w:t>$</w:t>
      </w:r>
      <w:r w:rsidRPr="00E00D3A">
        <w:t xml:space="preserve">613m over the five-year life of the program, from 1 July 2015 to 30 June 2020. This includes provision for </w:t>
      </w:r>
      <w:r w:rsidRPr="00E00D3A">
        <w:rPr>
          <w:rFonts w:ascii="Times New Roman" w:hAnsi="Times New Roman"/>
        </w:rPr>
        <w:t>$</w:t>
      </w:r>
      <w:r w:rsidRPr="00E00D3A">
        <w:t xml:space="preserve">6.9m for </w:t>
      </w:r>
      <w:r w:rsidRPr="00E00D3A">
        <w:rPr>
          <w:i/>
        </w:rPr>
        <w:t>Rural Pharmacy Workforce Programmes</w:t>
      </w:r>
      <w:r w:rsidRPr="00E00D3A">
        <w:t xml:space="preserve"> and </w:t>
      </w:r>
      <w:r w:rsidRPr="00E00D3A">
        <w:rPr>
          <w:rFonts w:ascii="Times New Roman" w:hAnsi="Times New Roman"/>
        </w:rPr>
        <w:t>$</w:t>
      </w:r>
      <w:r w:rsidRPr="00E00D3A">
        <w:t xml:space="preserve">0.3m for the </w:t>
      </w:r>
      <w:r w:rsidRPr="00E00D3A">
        <w:rPr>
          <w:i/>
        </w:rPr>
        <w:t>Aboriginal and Torres Strait Islander Workforce Programme</w:t>
      </w:r>
      <w:r w:rsidRPr="00E00D3A">
        <w:t xml:space="preserve"> in 2015</w:t>
      </w:r>
      <w:r w:rsidR="0048517E">
        <w:t>–</w:t>
      </w:r>
      <w:r w:rsidRPr="00E00D3A">
        <w:t xml:space="preserve">16 – the programs that are </w:t>
      </w:r>
      <w:r w:rsidR="0048517E">
        <w:t>the</w:t>
      </w:r>
      <w:r w:rsidR="0048517E" w:rsidRPr="00E00D3A">
        <w:t xml:space="preserve"> </w:t>
      </w:r>
      <w:r w:rsidRPr="00E00D3A">
        <w:t>subject of this project.</w:t>
      </w:r>
    </w:p>
    <w:p w14:paraId="6574ECB2" w14:textId="77777777" w:rsidR="005C2B84" w:rsidRPr="00E00D3A" w:rsidRDefault="005C2B84" w:rsidP="005C2B84">
      <w:pPr>
        <w:pStyle w:val="BodyCopy"/>
      </w:pPr>
      <w:r w:rsidRPr="00E00D3A">
        <w:t>HMA has been engaged to assess the cost-effectiveness of the 12 community pharmacy workforce programs funded under the 6CPA, which include the:</w:t>
      </w:r>
    </w:p>
    <w:p w14:paraId="51A94A98" w14:textId="77777777" w:rsidR="005C2B84" w:rsidRPr="00E00D3A" w:rsidRDefault="005C2B84" w:rsidP="005C2B84">
      <w:pPr>
        <w:pStyle w:val="Bullets1"/>
      </w:pPr>
      <w:r w:rsidRPr="00E00D3A">
        <w:t>Rural Pharmacy Scholarship Scheme</w:t>
      </w:r>
    </w:p>
    <w:p w14:paraId="669F9291" w14:textId="77777777" w:rsidR="005C2B84" w:rsidRPr="00E00D3A" w:rsidRDefault="005C2B84" w:rsidP="005C2B84">
      <w:pPr>
        <w:pStyle w:val="Bullets1"/>
      </w:pPr>
      <w:r w:rsidRPr="00E00D3A">
        <w:t>Rural Pharmacy Scholarship Mentor Scheme</w:t>
      </w:r>
    </w:p>
    <w:p w14:paraId="12C6AD5B" w14:textId="77777777" w:rsidR="005C2B84" w:rsidRPr="00E00D3A" w:rsidRDefault="005C2B84" w:rsidP="005C2B84">
      <w:pPr>
        <w:pStyle w:val="Bullets1"/>
      </w:pPr>
      <w:r w:rsidRPr="00E00D3A">
        <w:t>Intern Incentive Allowance for Rural Pharmacies</w:t>
      </w:r>
    </w:p>
    <w:p w14:paraId="6AF52604" w14:textId="77777777" w:rsidR="005C2B84" w:rsidRPr="00E00D3A" w:rsidRDefault="005C2B84" w:rsidP="005C2B84">
      <w:pPr>
        <w:pStyle w:val="Bullets1"/>
      </w:pPr>
      <w:r w:rsidRPr="00E00D3A">
        <w:t>Intern Incentive Allowance for Rural Pharmacies – Extension Program</w:t>
      </w:r>
    </w:p>
    <w:p w14:paraId="59C05CDD" w14:textId="77777777" w:rsidR="005C2B84" w:rsidRPr="00E00D3A" w:rsidRDefault="005C2B84" w:rsidP="005C2B84">
      <w:pPr>
        <w:pStyle w:val="Bullets1"/>
      </w:pPr>
      <w:r w:rsidRPr="00E00D3A">
        <w:t>Rural Intern Training Allowance</w:t>
      </w:r>
    </w:p>
    <w:p w14:paraId="43B77C67" w14:textId="77777777" w:rsidR="005C2B84" w:rsidRPr="00E00D3A" w:rsidRDefault="005C2B84" w:rsidP="005C2B84">
      <w:pPr>
        <w:pStyle w:val="Bullets1"/>
      </w:pPr>
      <w:r w:rsidRPr="00E00D3A">
        <w:t>Rural Pharmacy Student Placement Allowance</w:t>
      </w:r>
    </w:p>
    <w:p w14:paraId="712C4765" w14:textId="77777777" w:rsidR="005C2B84" w:rsidRPr="00E00D3A" w:rsidRDefault="005C2B84" w:rsidP="005C2B84">
      <w:pPr>
        <w:pStyle w:val="Bullets1"/>
      </w:pPr>
      <w:r w:rsidRPr="00E00D3A">
        <w:t>Administrative Support to Pharmacy Schools</w:t>
      </w:r>
    </w:p>
    <w:p w14:paraId="4ABBCE93" w14:textId="77777777" w:rsidR="005C2B84" w:rsidRPr="00E00D3A" w:rsidRDefault="005C2B84" w:rsidP="005C2B84">
      <w:pPr>
        <w:pStyle w:val="Bullets1"/>
      </w:pPr>
      <w:r w:rsidRPr="00E00D3A">
        <w:t>Aboriginal and Torres Strait Islander Pharmacy Assistant Traineeship Scheme</w:t>
      </w:r>
    </w:p>
    <w:p w14:paraId="21F0B200" w14:textId="77777777" w:rsidR="005C2B84" w:rsidRPr="00E00D3A" w:rsidRDefault="005C2B84" w:rsidP="005C2B84">
      <w:pPr>
        <w:pStyle w:val="Bullets1"/>
      </w:pPr>
      <w:r w:rsidRPr="00E00D3A">
        <w:t>Aboriginal and Torres Strait Islander Pharmacy Scholarship Scheme</w:t>
      </w:r>
    </w:p>
    <w:p w14:paraId="29E96040" w14:textId="77777777" w:rsidR="005C2B84" w:rsidRPr="00E00D3A" w:rsidRDefault="005C2B84" w:rsidP="005C2B84">
      <w:pPr>
        <w:pStyle w:val="Bullets1"/>
      </w:pPr>
      <w:r w:rsidRPr="00E00D3A">
        <w:t>Continuing Professional Educational Allowance</w:t>
      </w:r>
    </w:p>
    <w:p w14:paraId="791E3E34" w14:textId="77777777" w:rsidR="005C2B84" w:rsidRPr="00E00D3A" w:rsidRDefault="005C2B84" w:rsidP="005C2B84">
      <w:pPr>
        <w:pStyle w:val="Bullets1"/>
      </w:pPr>
      <w:r w:rsidRPr="00E00D3A">
        <w:t>Rural Pharmacy Liaison Officer Program, and</w:t>
      </w:r>
    </w:p>
    <w:p w14:paraId="1845519F" w14:textId="77777777" w:rsidR="005C2B84" w:rsidRPr="00E00D3A" w:rsidRDefault="005C2B84" w:rsidP="005C2B84">
      <w:pPr>
        <w:pStyle w:val="Bullets1"/>
      </w:pPr>
      <w:r w:rsidRPr="00E00D3A">
        <w:t xml:space="preserve">Emergency Locum Service. </w:t>
      </w:r>
    </w:p>
    <w:p w14:paraId="5D373E53" w14:textId="30B30DD7" w:rsidR="00C24C1A" w:rsidRDefault="005C2B84" w:rsidP="005C2B84">
      <w:pPr>
        <w:pStyle w:val="BodyCopy"/>
      </w:pPr>
      <w:r>
        <w:t xml:space="preserve">This document, the </w:t>
      </w:r>
      <w:r>
        <w:rPr>
          <w:i/>
        </w:rPr>
        <w:t>Detailed analysis of Workforce Programs</w:t>
      </w:r>
      <w:r w:rsidR="0048517E">
        <w:t>,</w:t>
      </w:r>
      <w:r>
        <w:t xml:space="preserve"> summarises the findings of data collection and analysis processes undertaken during the project.</w:t>
      </w:r>
      <w:r w:rsidR="00D50CDE">
        <w:t xml:space="preserve"> The context of each program is established, including program </w:t>
      </w:r>
      <w:r w:rsidR="00667940">
        <w:t>aims</w:t>
      </w:r>
      <w:r w:rsidR="00D50CDE">
        <w:t xml:space="preserve">, delivery method and volume. </w:t>
      </w:r>
    </w:p>
    <w:p w14:paraId="5A832A8E" w14:textId="526D61AA" w:rsidR="00C24C1A" w:rsidRDefault="00C24C1A" w:rsidP="009A65BB">
      <w:pPr>
        <w:pStyle w:val="Heading3"/>
      </w:pPr>
      <w:bookmarkStart w:id="6" w:name="_Toc523318792"/>
      <w:r>
        <w:t>Program aims</w:t>
      </w:r>
      <w:bookmarkEnd w:id="6"/>
    </w:p>
    <w:p w14:paraId="6803EAC7" w14:textId="62B5AAD7" w:rsidR="00395D3F" w:rsidRDefault="005D67EB" w:rsidP="005D67EB">
      <w:pPr>
        <w:pStyle w:val="BodyCopy"/>
      </w:pPr>
      <w:r>
        <w:t>Evaluation of any program is enhanced by the clear articulation of its objectives. Program performance is then tested against these objectives by an assessment of appropriateness, effectiveness and efficiency</w:t>
      </w:r>
      <w:r w:rsidR="00395D3F">
        <w:t>, which are defines as follows:</w:t>
      </w:r>
    </w:p>
    <w:p w14:paraId="70AB26E2" w14:textId="77777777" w:rsidR="00395D3F" w:rsidRPr="00975190" w:rsidRDefault="00395D3F" w:rsidP="00395D3F">
      <w:pPr>
        <w:pStyle w:val="Bullets1"/>
      </w:pPr>
      <w:r>
        <w:t xml:space="preserve">Appropriateness: </w:t>
      </w:r>
      <w:r w:rsidRPr="00975190">
        <w:t xml:space="preserve">the continued relevance and priority of program objectives in the light of current circumstances such as government policy context, including the suitability of program design </w:t>
      </w:r>
      <w:r>
        <w:t>in response to identified needs.</w:t>
      </w:r>
    </w:p>
    <w:p w14:paraId="70FF9034" w14:textId="77777777" w:rsidR="00395D3F" w:rsidRDefault="00395D3F" w:rsidP="00395D3F">
      <w:pPr>
        <w:pStyle w:val="Bullets1"/>
      </w:pPr>
      <w:r>
        <w:t xml:space="preserve">Effectiveness: </w:t>
      </w:r>
      <w:r w:rsidRPr="00975190">
        <w:t>whether program outcomes have achieved stated objectives, and to what extent outputs h</w:t>
      </w:r>
      <w:r>
        <w:t>ave contributed to outcomes.</w:t>
      </w:r>
    </w:p>
    <w:p w14:paraId="174C0E82" w14:textId="3015CD29" w:rsidR="00395D3F" w:rsidRPr="00E945FE" w:rsidRDefault="00395D3F" w:rsidP="00395D3F">
      <w:pPr>
        <w:pStyle w:val="Bullets1"/>
      </w:pPr>
      <w:r>
        <w:t>Efficiency:</w:t>
      </w:r>
      <w:r w:rsidRPr="00FC5D57">
        <w:t xml:space="preserve"> </w:t>
      </w:r>
      <w:r w:rsidRPr="00975190">
        <w:t>whether there are better ways of achieving these objectives, including consideration of expenditure and cost per output, project governance arrangement</w:t>
      </w:r>
      <w:r>
        <w:t>s, and implementation processes.</w:t>
      </w:r>
      <w:r w:rsidRPr="0068321A">
        <w:t xml:space="preserve"> </w:t>
      </w:r>
      <w:sdt>
        <w:sdtPr>
          <w:id w:val="307451381"/>
          <w:citation/>
        </w:sdtPr>
        <w:sdtContent>
          <w:r>
            <w:fldChar w:fldCharType="begin"/>
          </w:r>
          <w:r>
            <w:instrText xml:space="preserve">CITATION Tun10 \l 3081 </w:instrText>
          </w:r>
          <w:r>
            <w:fldChar w:fldCharType="separate"/>
          </w:r>
          <w:r w:rsidR="0089011F" w:rsidRPr="0089011F">
            <w:rPr>
              <w:noProof/>
            </w:rPr>
            <w:t>[1]</w:t>
          </w:r>
          <w:r>
            <w:fldChar w:fldCharType="end"/>
          </w:r>
        </w:sdtContent>
      </w:sdt>
    </w:p>
    <w:p w14:paraId="32AFF9E2" w14:textId="16868070" w:rsidR="005D67EB" w:rsidRDefault="005D67EB" w:rsidP="005D67EB">
      <w:pPr>
        <w:pStyle w:val="BodyCopy"/>
      </w:pPr>
      <w:r>
        <w:t>A suitable program objective for any public policy intervention has the following features. It is:</w:t>
      </w:r>
    </w:p>
    <w:p w14:paraId="24122A8B" w14:textId="5739E948" w:rsidR="005D67EB" w:rsidRDefault="00A01644" w:rsidP="009A65BB">
      <w:pPr>
        <w:pStyle w:val="Bullets1"/>
      </w:pPr>
      <w:r>
        <w:t>•s</w:t>
      </w:r>
      <w:r w:rsidR="005D67EB">
        <w:t>pecific, including a statement of ‘who’, ‘what’, ‘where’ and ‘why’</w:t>
      </w:r>
    </w:p>
    <w:p w14:paraId="67F6EF5C" w14:textId="1AB1D90D" w:rsidR="005D67EB" w:rsidRDefault="00A01644" w:rsidP="009A65BB">
      <w:pPr>
        <w:pStyle w:val="Bullets1"/>
      </w:pPr>
      <w:r>
        <w:t>•m</w:t>
      </w:r>
      <w:r w:rsidR="005D67EB">
        <w:t>easurable: focuses on ‘how much’ change is expected</w:t>
      </w:r>
    </w:p>
    <w:p w14:paraId="07498699" w14:textId="234E2BA1" w:rsidR="005D67EB" w:rsidRDefault="00A01644" w:rsidP="009A65BB">
      <w:pPr>
        <w:pStyle w:val="Bullets1"/>
      </w:pPr>
      <w:r>
        <w:t>•a</w:t>
      </w:r>
      <w:r w:rsidR="005D67EB">
        <w:t>chievable: realistic given program resources and planned implementation, and</w:t>
      </w:r>
    </w:p>
    <w:p w14:paraId="2ABD5DD2" w14:textId="66D874FA" w:rsidR="005D67EB" w:rsidRDefault="00A01644" w:rsidP="009A65BB">
      <w:pPr>
        <w:pStyle w:val="Bullets1"/>
      </w:pPr>
      <w:r>
        <w:t>•ti</w:t>
      </w:r>
      <w:r w:rsidR="005D67EB">
        <w:t>me-bound: focuses on ‘when’ the objective will be achieved</w:t>
      </w:r>
      <w:r>
        <w:t>.</w:t>
      </w:r>
    </w:p>
    <w:p w14:paraId="3DC50AA5" w14:textId="5EEB082C" w:rsidR="005D67EB" w:rsidRPr="00395D3F" w:rsidRDefault="005D67EB" w:rsidP="005D67EB">
      <w:pPr>
        <w:pStyle w:val="BodyCopy"/>
      </w:pPr>
      <w:r>
        <w:t>Based on our review of the program documentation, we consider there are limitations to the Pharmacy Workforce Program objectives.</w:t>
      </w:r>
      <w:r w:rsidR="00395D3F">
        <w:t xml:space="preserve"> These are elaborated upon in the </w:t>
      </w:r>
      <w:r w:rsidR="00395D3F">
        <w:rPr>
          <w:i/>
        </w:rPr>
        <w:t>Final Report</w:t>
      </w:r>
      <w:r w:rsidR="00395D3F">
        <w:t xml:space="preserve">. For the purposes of the analysis in this document, the program aims provided by The Department are used in lieu of specific program objectives. </w:t>
      </w:r>
    </w:p>
    <w:p w14:paraId="7B732B4E" w14:textId="45320ED5" w:rsidR="005C2B84" w:rsidRPr="00DA6D1A" w:rsidRDefault="005C2B84" w:rsidP="005C2B84">
      <w:pPr>
        <w:pStyle w:val="BodyCopy"/>
      </w:pPr>
      <w:r>
        <w:t xml:space="preserve">The findings presented in this document support the broader analysis of the appropriateness, effectiveness and efficiency of the </w:t>
      </w:r>
      <w:r w:rsidRPr="003A00C2">
        <w:rPr>
          <w:i/>
        </w:rPr>
        <w:t>Rural Pharmacy Workforce Programs</w:t>
      </w:r>
      <w:r>
        <w:t xml:space="preserve"> and </w:t>
      </w:r>
      <w:r w:rsidRPr="003A00C2">
        <w:rPr>
          <w:i/>
        </w:rPr>
        <w:t>Aboriginal and Torres Strait Islander Workforce Programs</w:t>
      </w:r>
      <w:r>
        <w:t xml:space="preserve"> as two distinct program </w:t>
      </w:r>
      <w:r>
        <w:lastRenderedPageBreak/>
        <w:t xml:space="preserve">packages. This analysis will be presented in the </w:t>
      </w:r>
      <w:r w:rsidR="00A71AAA">
        <w:rPr>
          <w:i/>
        </w:rPr>
        <w:t>Final</w:t>
      </w:r>
      <w:r>
        <w:rPr>
          <w:i/>
        </w:rPr>
        <w:t xml:space="preserve"> Report</w:t>
      </w:r>
      <w:r>
        <w:t xml:space="preserve">. The </w:t>
      </w:r>
      <w:r w:rsidR="00A71AAA">
        <w:rPr>
          <w:i/>
        </w:rPr>
        <w:t>Final</w:t>
      </w:r>
      <w:r>
        <w:rPr>
          <w:i/>
        </w:rPr>
        <w:t xml:space="preserve"> Report </w:t>
      </w:r>
      <w:r>
        <w:t xml:space="preserve">and the </w:t>
      </w:r>
      <w:r>
        <w:rPr>
          <w:i/>
        </w:rPr>
        <w:t>Detailed Analysis</w:t>
      </w:r>
      <w:r>
        <w:t xml:space="preserve"> report is accompanied by a </w:t>
      </w:r>
      <w:r>
        <w:rPr>
          <w:i/>
        </w:rPr>
        <w:t>Technical Report</w:t>
      </w:r>
      <w:r w:rsidR="0048517E">
        <w:t>,</w:t>
      </w:r>
      <w:r>
        <w:t xml:space="preserve"> which contains the full data collection findings and tools. </w:t>
      </w:r>
    </w:p>
    <w:p w14:paraId="0C513A90" w14:textId="77777777" w:rsidR="005C2B84" w:rsidRDefault="005C2B84" w:rsidP="005C2B84">
      <w:pPr>
        <w:pStyle w:val="Heading2"/>
      </w:pPr>
      <w:bookmarkStart w:id="7" w:name="_Toc523318793"/>
      <w:r>
        <w:t>Data collection methods</w:t>
      </w:r>
      <w:bookmarkEnd w:id="7"/>
    </w:p>
    <w:p w14:paraId="23405718" w14:textId="1CE75492" w:rsidR="005C2B84" w:rsidRDefault="005C2B84" w:rsidP="005C2B84">
      <w:pPr>
        <w:pStyle w:val="BodyCopy"/>
      </w:pPr>
      <w:r>
        <w:t>HMA and the Department agreed an approach to undertaking the review</w:t>
      </w:r>
      <w:r w:rsidR="0048517E">
        <w:t>,</w:t>
      </w:r>
      <w:r>
        <w:t xml:space="preserve"> including several data collection activities. In summary, these activities included:</w:t>
      </w:r>
    </w:p>
    <w:p w14:paraId="7659F0B5" w14:textId="6592B189" w:rsidR="005C2B84" w:rsidRPr="00395D3F" w:rsidRDefault="005C2B84">
      <w:pPr>
        <w:pStyle w:val="Bullets1"/>
      </w:pPr>
      <w:r w:rsidRPr="00B2471D">
        <w:rPr>
          <w:b/>
        </w:rPr>
        <w:t>PICO (Population, Intervention, Comparator, Outcome)</w:t>
      </w:r>
      <w:r w:rsidRPr="009A65BB">
        <w:t xml:space="preserve"> descriptions of in-scope programs: </w:t>
      </w:r>
      <w:r w:rsidRPr="00395D3F">
        <w:t xml:space="preserve">The target group, delivery method, comparable programs and intended outcome of each program </w:t>
      </w:r>
      <w:r w:rsidR="0048517E" w:rsidRPr="00395D3F">
        <w:t xml:space="preserve">were </w:t>
      </w:r>
      <w:r w:rsidRPr="00395D3F">
        <w:t>described</w:t>
      </w:r>
      <w:r w:rsidR="0048517E" w:rsidRPr="00395D3F">
        <w:t>,</w:t>
      </w:r>
      <w:r w:rsidRPr="00395D3F">
        <w:t xml:space="preserve"> drawing upon the following data sources: </w:t>
      </w:r>
    </w:p>
    <w:p w14:paraId="73744A69" w14:textId="47B1AF22" w:rsidR="005C2B84" w:rsidRPr="00E77259" w:rsidRDefault="005C2B84" w:rsidP="005C2B84">
      <w:pPr>
        <w:pStyle w:val="Bullets2"/>
      </w:pPr>
      <w:r w:rsidRPr="00E77259">
        <w:rPr>
          <w:i/>
        </w:rPr>
        <w:t>Program Specific Guidelines</w:t>
      </w:r>
      <w:r w:rsidRPr="00E77259">
        <w:t xml:space="preserve"> for each program, published by </w:t>
      </w:r>
      <w:r w:rsidR="0048517E">
        <w:t>T</w:t>
      </w:r>
      <w:r w:rsidR="0048517E" w:rsidRPr="00E77259">
        <w:t xml:space="preserve">he </w:t>
      </w:r>
      <w:r>
        <w:t>Guild</w:t>
      </w:r>
      <w:r w:rsidRPr="00E77259">
        <w:t xml:space="preserve"> </w:t>
      </w:r>
    </w:p>
    <w:p w14:paraId="4F578552" w14:textId="391C2DE2" w:rsidR="005C2B84" w:rsidRPr="00E77259" w:rsidRDefault="005C2B84" w:rsidP="005C2B84">
      <w:pPr>
        <w:pStyle w:val="Bullets2"/>
      </w:pPr>
      <w:bookmarkStart w:id="8" w:name="_Hlk488224843"/>
      <w:r>
        <w:t>p</w:t>
      </w:r>
      <w:r w:rsidRPr="00E77259">
        <w:t>eer-reviewed literature including findings from a rapid literature search of Google Scholar and PubMed</w:t>
      </w:r>
      <w:r w:rsidR="0048517E">
        <w:t>,</w:t>
      </w:r>
      <w:r w:rsidRPr="00E77259">
        <w:t xml:space="preserve"> and academic journals including the </w:t>
      </w:r>
      <w:r w:rsidRPr="00E77259">
        <w:rPr>
          <w:i/>
        </w:rPr>
        <w:t>Australian Journal of Rural Health</w:t>
      </w:r>
      <w:r w:rsidRPr="00E77259">
        <w:t xml:space="preserve"> and </w:t>
      </w:r>
      <w:r w:rsidRPr="00E77259">
        <w:rPr>
          <w:i/>
        </w:rPr>
        <w:t>Rural and Remote Health</w:t>
      </w:r>
      <w:r>
        <w:t>. T</w:t>
      </w:r>
      <w:r w:rsidRPr="00E77259">
        <w:t>he literature search include</w:t>
      </w:r>
      <w:r>
        <w:t>d</w:t>
      </w:r>
      <w:r w:rsidRPr="00E77259">
        <w:t xml:space="preserve"> non-peer reviewed literature and grey literature (e.g. government reports)</w:t>
      </w:r>
      <w:r>
        <w:t xml:space="preserve"> where appropriate</w:t>
      </w:r>
      <w:bookmarkEnd w:id="8"/>
      <w:r>
        <w:t>, and</w:t>
      </w:r>
    </w:p>
    <w:p w14:paraId="6BA27945" w14:textId="6EA9168F" w:rsidR="005C2B84" w:rsidRDefault="005C2B84" w:rsidP="005C2B84">
      <w:pPr>
        <w:pStyle w:val="Bullets2"/>
      </w:pPr>
      <w:r>
        <w:t>p</w:t>
      </w:r>
      <w:r w:rsidRPr="00E77259">
        <w:t>rogram</w:t>
      </w:r>
      <w:r>
        <w:t xml:space="preserve"> output</w:t>
      </w:r>
      <w:r w:rsidRPr="00E77259">
        <w:t xml:space="preserve"> data provided</w:t>
      </w:r>
      <w:r>
        <w:t xml:space="preserve"> by </w:t>
      </w:r>
      <w:r w:rsidR="0048517E">
        <w:t xml:space="preserve">The </w:t>
      </w:r>
      <w:r>
        <w:t xml:space="preserve">Guild. </w:t>
      </w:r>
    </w:p>
    <w:p w14:paraId="53134E24" w14:textId="66B1ABDC" w:rsidR="005C2B84" w:rsidRPr="00E77259" w:rsidRDefault="005C2B84" w:rsidP="005C2B84">
      <w:pPr>
        <w:pStyle w:val="Bullets1"/>
      </w:pPr>
      <w:r w:rsidRPr="00CF4D2F">
        <w:rPr>
          <w:b/>
        </w:rPr>
        <w:t>Workforce data analysis:</w:t>
      </w:r>
      <w:r w:rsidRPr="00E77259">
        <w:t xml:space="preserve"> </w:t>
      </w:r>
      <w:r w:rsidRPr="00B60F7C">
        <w:t>Australian Health Practitioner</w:t>
      </w:r>
      <w:r w:rsidRPr="002235ED">
        <w:t xml:space="preserve"> </w:t>
      </w:r>
      <w:r w:rsidRPr="00B60F7C">
        <w:t>Regulation</w:t>
      </w:r>
      <w:r w:rsidRPr="002235ED">
        <w:t xml:space="preserve"> </w:t>
      </w:r>
      <w:r w:rsidRPr="00B60F7C">
        <w:t>Agency</w:t>
      </w:r>
      <w:r w:rsidRPr="002235ED">
        <w:t xml:space="preserve"> (AHPRA)</w:t>
      </w:r>
      <w:r>
        <w:t xml:space="preserve"> data on pharmacy workforce, made available through the Department of Health Workforce Reform Branch</w:t>
      </w:r>
      <w:r w:rsidR="0048517E">
        <w:t>,</w:t>
      </w:r>
      <w:r>
        <w:t xml:space="preserve"> was analysed to identify pharmacy workforce trends over time. </w:t>
      </w:r>
    </w:p>
    <w:p w14:paraId="26A9A182" w14:textId="77777777" w:rsidR="005C2B84" w:rsidRDefault="005C2B84" w:rsidP="005C2B84">
      <w:pPr>
        <w:pStyle w:val="Bullets1"/>
      </w:pPr>
      <w:r w:rsidRPr="00CF4D2F">
        <w:rPr>
          <w:b/>
        </w:rPr>
        <w:t>Peak body stakeholder consultations:</w:t>
      </w:r>
      <w:r w:rsidRPr="00E77259">
        <w:t xml:space="preserve"> </w:t>
      </w:r>
      <w:r>
        <w:t>Consultations were undertaken with representatives of peak body organisations in the fields of pharmacy, rural health and Aboriginal and Torres Strait Islander health. Consultations sought to explore the benefit of the suite of programs and identify issues facing the rural pharmacy profession. Consulted organisation included:</w:t>
      </w:r>
    </w:p>
    <w:p w14:paraId="54A5B751" w14:textId="77777777" w:rsidR="005C2B84" w:rsidRDefault="005C2B84" w:rsidP="005C2B84">
      <w:pPr>
        <w:pStyle w:val="Bullets2"/>
      </w:pPr>
      <w:bookmarkStart w:id="9" w:name="_Hlk488225430"/>
      <w:r>
        <w:t>Australian Association of Consultant Pharmacists (AACP)</w:t>
      </w:r>
    </w:p>
    <w:p w14:paraId="74767604" w14:textId="77777777" w:rsidR="005C2B84" w:rsidRDefault="005C2B84" w:rsidP="005C2B84">
      <w:pPr>
        <w:pStyle w:val="Bullets2"/>
      </w:pPr>
      <w:r>
        <w:t>National Aboriginal Community-Controlled Health Organisation (NACCHO)</w:t>
      </w:r>
    </w:p>
    <w:p w14:paraId="7F9A5E40" w14:textId="77777777" w:rsidR="005C2B84" w:rsidRDefault="005C2B84" w:rsidP="005C2B84">
      <w:pPr>
        <w:pStyle w:val="Bullets2"/>
      </w:pPr>
      <w:r>
        <w:t>Australian Rural Health Education Network (ARHEN)</w:t>
      </w:r>
    </w:p>
    <w:p w14:paraId="601EC58B" w14:textId="71F26054" w:rsidR="005C2B84" w:rsidRDefault="005C2B84" w:rsidP="005C2B84">
      <w:pPr>
        <w:pStyle w:val="Bullets2"/>
      </w:pPr>
      <w:r>
        <w:t>The Pharmacy Guild of Australia</w:t>
      </w:r>
      <w:r w:rsidR="0088254D">
        <w:t xml:space="preserve"> (The Guild)</w:t>
      </w:r>
    </w:p>
    <w:p w14:paraId="178D4EEC" w14:textId="77777777" w:rsidR="005C2B84" w:rsidRDefault="005C2B84" w:rsidP="005C2B84">
      <w:pPr>
        <w:pStyle w:val="Bullets2"/>
      </w:pPr>
      <w:r>
        <w:t>Pharmaceutical Society of Australia (PSA)</w:t>
      </w:r>
    </w:p>
    <w:p w14:paraId="23197D04" w14:textId="77777777" w:rsidR="005C2B84" w:rsidRDefault="005C2B84" w:rsidP="005C2B84">
      <w:pPr>
        <w:pStyle w:val="Bullets2"/>
      </w:pPr>
      <w:r>
        <w:t>Consumers Health Forum of Australia (CHF), and</w:t>
      </w:r>
    </w:p>
    <w:p w14:paraId="23DDCEA8" w14:textId="77777777" w:rsidR="005C2B84" w:rsidRDefault="005C2B84" w:rsidP="005C2B84">
      <w:pPr>
        <w:pStyle w:val="Bullets2"/>
      </w:pPr>
      <w:r>
        <w:t>Society of Hospital Pharmacists of Australia (SHPA).</w:t>
      </w:r>
    </w:p>
    <w:bookmarkEnd w:id="9"/>
    <w:p w14:paraId="0F4DD275" w14:textId="77777777" w:rsidR="005C2B84" w:rsidRDefault="005C2B84" w:rsidP="005C2B84">
      <w:pPr>
        <w:pStyle w:val="Bullets1"/>
      </w:pPr>
      <w:r w:rsidRPr="009608FC">
        <w:rPr>
          <w:b/>
        </w:rPr>
        <w:t xml:space="preserve">Program recipient and intended beneficiary consultations: </w:t>
      </w:r>
      <w:r>
        <w:t>Consultations were undertaken with recipients and intended beneficiaries of retention programs (e.g. the scholarship scheme or placement allowance) and other support programs (e.g. Rural Pharmacy Liaison Officer (RPLO) and Administration Support programs) to explore the effectiveness of the program in addressing issues pertinent to pharmacy students, interns, practising rural pharmacists and RPLOs. Consultations were undertaken at six University Departments of Rural Health (UDRHs), including:</w:t>
      </w:r>
    </w:p>
    <w:p w14:paraId="378F9AA9" w14:textId="77777777" w:rsidR="005C2B84" w:rsidRDefault="005C2B84" w:rsidP="005C2B84">
      <w:pPr>
        <w:pStyle w:val="Bullets2"/>
      </w:pPr>
      <w:r>
        <w:t>Centre for Rural Health, Alice Springs</w:t>
      </w:r>
    </w:p>
    <w:p w14:paraId="1B2D1C2A" w14:textId="77777777" w:rsidR="005C2B84" w:rsidRDefault="005C2B84" w:rsidP="005C2B84">
      <w:pPr>
        <w:pStyle w:val="Bullets2"/>
      </w:pPr>
      <w:r>
        <w:t xml:space="preserve">Melbourne UDRH, Shepparton </w:t>
      </w:r>
    </w:p>
    <w:p w14:paraId="2C9E37C6" w14:textId="77777777" w:rsidR="005C2B84" w:rsidRDefault="005C2B84" w:rsidP="005C2B84">
      <w:pPr>
        <w:pStyle w:val="Bullets2"/>
      </w:pPr>
      <w:r>
        <w:t>Monash University School of Rural Health, Clayton / Moe</w:t>
      </w:r>
    </w:p>
    <w:p w14:paraId="4CCE6977" w14:textId="77777777" w:rsidR="005C2B84" w:rsidRDefault="005C2B84" w:rsidP="005C2B84">
      <w:pPr>
        <w:pStyle w:val="Bullets2"/>
      </w:pPr>
      <w:r>
        <w:t>Mt Isa Centre for Rural and Remote Health</w:t>
      </w:r>
    </w:p>
    <w:p w14:paraId="25B0DF76" w14:textId="77777777" w:rsidR="005C2B84" w:rsidRDefault="005C2B84" w:rsidP="005C2B84">
      <w:pPr>
        <w:pStyle w:val="Bullets2"/>
      </w:pPr>
      <w:r>
        <w:t>University of Newcastle UDRH, Tamworth, and</w:t>
      </w:r>
    </w:p>
    <w:p w14:paraId="0D79748F" w14:textId="77777777" w:rsidR="005C2B84" w:rsidRPr="00E77259" w:rsidRDefault="005C2B84" w:rsidP="005C2B84">
      <w:pPr>
        <w:pStyle w:val="Bullets2"/>
      </w:pPr>
      <w:r>
        <w:t>Western Australian Centre for Rural Health, Geraldton.</w:t>
      </w:r>
    </w:p>
    <w:p w14:paraId="07793864" w14:textId="77777777" w:rsidR="005C2B84" w:rsidRDefault="005C2B84" w:rsidP="005C2B84">
      <w:pPr>
        <w:pStyle w:val="Bullets1"/>
      </w:pPr>
      <w:r w:rsidRPr="009608FC">
        <w:rPr>
          <w:b/>
        </w:rPr>
        <w:t>Web-based surveys:</w:t>
      </w:r>
      <w:r w:rsidRPr="00E77259">
        <w:t xml:space="preserve"> </w:t>
      </w:r>
      <w:r>
        <w:t>Twelve surveys were developed and distributed to capture the perspectives of beneficiaries of the following programs:</w:t>
      </w:r>
    </w:p>
    <w:p w14:paraId="50750EC6" w14:textId="77777777" w:rsidR="005C2B84" w:rsidRDefault="005C2B84" w:rsidP="005C2B84">
      <w:pPr>
        <w:pStyle w:val="Bullets2"/>
      </w:pPr>
      <w:r>
        <w:t>Rural Pharmacy Mentor Scheme</w:t>
      </w:r>
    </w:p>
    <w:p w14:paraId="35C48F7B" w14:textId="77777777" w:rsidR="005C2B84" w:rsidRDefault="005C2B84" w:rsidP="005C2B84">
      <w:pPr>
        <w:pStyle w:val="Bullets2"/>
      </w:pPr>
      <w:r>
        <w:t>Rural Pharmacy Scholarship Scheme and Mentor Scheme</w:t>
      </w:r>
    </w:p>
    <w:p w14:paraId="50C13B72" w14:textId="77777777" w:rsidR="005C2B84" w:rsidRDefault="005C2B84" w:rsidP="005C2B84">
      <w:pPr>
        <w:pStyle w:val="Bullets2"/>
      </w:pPr>
      <w:r>
        <w:t>Intern Incentive Allowance for Rural Pharmacies and Extension Program</w:t>
      </w:r>
    </w:p>
    <w:p w14:paraId="2012757C" w14:textId="77777777" w:rsidR="005C2B84" w:rsidRDefault="005C2B84" w:rsidP="005C2B84">
      <w:pPr>
        <w:pStyle w:val="Bullets2"/>
      </w:pPr>
      <w:r>
        <w:t>Aboriginal and Torres Strait Islander Pharmacy Assistant Traineeship Scheme</w:t>
      </w:r>
    </w:p>
    <w:p w14:paraId="7F31CD31" w14:textId="77777777" w:rsidR="005C2B84" w:rsidRDefault="005C2B84" w:rsidP="005C2B84">
      <w:pPr>
        <w:pStyle w:val="Bullets2"/>
      </w:pPr>
      <w:r>
        <w:t>Aboriginal and Torres Strait Islander Pharmacy Scholarship Scheme</w:t>
      </w:r>
    </w:p>
    <w:p w14:paraId="3499C504" w14:textId="77777777" w:rsidR="005C2B84" w:rsidRDefault="005C2B84" w:rsidP="005C2B84">
      <w:pPr>
        <w:pStyle w:val="Bullets2"/>
      </w:pPr>
      <w:r>
        <w:t>Continuing Professional Education Allowance</w:t>
      </w:r>
    </w:p>
    <w:p w14:paraId="0A27F9CE" w14:textId="77777777" w:rsidR="005C2B84" w:rsidRDefault="005C2B84" w:rsidP="005C2B84">
      <w:pPr>
        <w:pStyle w:val="Bullets2"/>
      </w:pPr>
      <w:r>
        <w:t>Rural Intern Training Allowance</w:t>
      </w:r>
    </w:p>
    <w:p w14:paraId="3AA71506" w14:textId="77777777" w:rsidR="005C2B84" w:rsidRDefault="005C2B84" w:rsidP="005C2B84">
      <w:pPr>
        <w:pStyle w:val="Bullets2"/>
      </w:pPr>
      <w:r>
        <w:t>Emergency Locum Service, and</w:t>
      </w:r>
    </w:p>
    <w:p w14:paraId="36DE6212" w14:textId="77777777" w:rsidR="005C2B84" w:rsidRPr="00E77259" w:rsidRDefault="005C2B84" w:rsidP="005C2B84">
      <w:pPr>
        <w:pStyle w:val="Bullets2"/>
      </w:pPr>
      <w:r>
        <w:t>Rural Pharmacy Liaison Officer Program.</w:t>
      </w:r>
    </w:p>
    <w:p w14:paraId="0C650CAE" w14:textId="67D35EAA" w:rsidR="005C2B84" w:rsidRPr="00E77259" w:rsidRDefault="005C2B84" w:rsidP="005C2B84">
      <w:pPr>
        <w:pStyle w:val="Bullets1"/>
      </w:pPr>
      <w:r w:rsidRPr="009608FC">
        <w:rPr>
          <w:b/>
        </w:rPr>
        <w:t>Unit cost analysis:</w:t>
      </w:r>
      <w:r w:rsidRPr="00E77259">
        <w:t xml:space="preserve"> </w:t>
      </w:r>
      <w:r>
        <w:t xml:space="preserve">Using available program budget, volume and expenditure data provided by </w:t>
      </w:r>
      <w:r w:rsidR="00C21B40">
        <w:t xml:space="preserve">The </w:t>
      </w:r>
      <w:r>
        <w:t xml:space="preserve">Guild, unit costs were calculated that indicate the cost of a single </w:t>
      </w:r>
      <w:r>
        <w:lastRenderedPageBreak/>
        <w:t xml:space="preserve">unit of service delivery (e.g. one scholarship) including a portion of overhead costs to administer the program. Data used in undertaking the unit cost was incomplete for several programs. </w:t>
      </w:r>
    </w:p>
    <w:p w14:paraId="1BA43545" w14:textId="77777777" w:rsidR="005C2B84" w:rsidRPr="00E77259" w:rsidRDefault="005C2B84" w:rsidP="005C2B84">
      <w:pPr>
        <w:pStyle w:val="Heading2"/>
      </w:pPr>
      <w:bookmarkStart w:id="10" w:name="_Toc523318794"/>
      <w:r w:rsidRPr="00E77259">
        <w:t>Document structure</w:t>
      </w:r>
      <w:bookmarkEnd w:id="10"/>
    </w:p>
    <w:p w14:paraId="059C6B8A" w14:textId="77777777" w:rsidR="005C2B84" w:rsidRDefault="005C2B84" w:rsidP="008653DC">
      <w:pPr>
        <w:pStyle w:val="BodyCopy"/>
      </w:pPr>
      <w:r>
        <w:t>The following sections of the document are structured as follows:</w:t>
      </w:r>
    </w:p>
    <w:p w14:paraId="5CD64DF2" w14:textId="77777777" w:rsidR="005C2B84" w:rsidRDefault="005C2B84" w:rsidP="008653DC">
      <w:pPr>
        <w:pStyle w:val="Bullets1"/>
      </w:pPr>
      <w:r w:rsidRPr="00DA662F">
        <w:rPr>
          <w:b/>
        </w:rPr>
        <w:t>Chapter 2: Workforce recruitment programs.</w:t>
      </w:r>
      <w:r>
        <w:t xml:space="preserve"> This section describes the context and evaluation findings of the programs that aim to support the recruitment of new pharmacists into rural community pharmacy. This includes the Rural Pharmacy Scholarship and Mentor Schemes, the Rural Intern Training Allowance and the Rural Pharmacy Student Placement Allowance. </w:t>
      </w:r>
    </w:p>
    <w:p w14:paraId="24791B53" w14:textId="77777777" w:rsidR="005C2B84" w:rsidRDefault="005C2B84" w:rsidP="008653DC">
      <w:pPr>
        <w:pStyle w:val="Bullets1"/>
      </w:pPr>
      <w:r w:rsidRPr="00DA662F">
        <w:rPr>
          <w:b/>
        </w:rPr>
        <w:t>Chapter 3: Workforce retention programs.</w:t>
      </w:r>
      <w:r>
        <w:t xml:space="preserve"> This section describes the context and evaluation findings of the programs that aim to support the retention of existing rural community pharmacists. This includes the CPE Allowance, the Emergency Locum Service and the Intern Incentive Allowance for Rural Pharmacies and Extension Program.</w:t>
      </w:r>
    </w:p>
    <w:p w14:paraId="551A13E5" w14:textId="77777777" w:rsidR="005C2B84" w:rsidRDefault="005C2B84" w:rsidP="008653DC">
      <w:pPr>
        <w:pStyle w:val="Bullets1"/>
      </w:pPr>
      <w:r w:rsidRPr="00DA662F">
        <w:rPr>
          <w:b/>
        </w:rPr>
        <w:t>Chapter 4: Other support programs.</w:t>
      </w:r>
      <w:r>
        <w:t xml:space="preserve"> This section describes the context and evaluation findings of programs that support the rural pharmacy workforce in broader ways. This includes the RPLO program and Administrative Support to Pharmacy Schools. </w:t>
      </w:r>
    </w:p>
    <w:p w14:paraId="647A22BD" w14:textId="1106A566" w:rsidR="005C2B84" w:rsidRDefault="005C2B84" w:rsidP="008653DC">
      <w:pPr>
        <w:pStyle w:val="Bullets1"/>
      </w:pPr>
      <w:r w:rsidRPr="00DA662F">
        <w:rPr>
          <w:b/>
        </w:rPr>
        <w:t>Chapter 5: Programs</w:t>
      </w:r>
      <w:r w:rsidR="00D22E9D">
        <w:rPr>
          <w:b/>
        </w:rPr>
        <w:t xml:space="preserve"> supporting access to culturally appropriate services</w:t>
      </w:r>
      <w:r w:rsidRPr="00DA662F">
        <w:rPr>
          <w:b/>
        </w:rPr>
        <w:t>.</w:t>
      </w:r>
      <w:r>
        <w:t xml:space="preserve"> This section describes the context and evaluation findings of programs that aim to support the entry of Aboriginal and Torres Strait Islander people into the pharmacy workforce. This includes the Aboriginal and Torres Strait Islander Pharmacy Assistant Traineeship Scheme and the Pharmacy Scholarship Scheme. These programs are considered distinct from other rural pharmacy workforce programs</w:t>
      </w:r>
      <w:r w:rsidR="00C21B40">
        <w:t>,</w:t>
      </w:r>
      <w:r>
        <w:t xml:space="preserve"> as they have the specific purpose of improving Aboriginal and Torres Strait Islander peoples’ access to pharmacy services. </w:t>
      </w:r>
    </w:p>
    <w:p w14:paraId="3C9391BD" w14:textId="72DB93F1" w:rsidR="005C2B84" w:rsidRPr="00996E9E" w:rsidRDefault="005C2B84" w:rsidP="008653DC">
      <w:pPr>
        <w:pStyle w:val="Bullets1"/>
      </w:pPr>
      <w:r w:rsidRPr="00DA662F">
        <w:rPr>
          <w:b/>
        </w:rPr>
        <w:t>Chapter 6:</w:t>
      </w:r>
      <w:r>
        <w:t xml:space="preserve"> </w:t>
      </w:r>
      <w:r w:rsidRPr="00DA662F">
        <w:rPr>
          <w:b/>
        </w:rPr>
        <w:t>References</w:t>
      </w:r>
    </w:p>
    <w:p w14:paraId="2C20438E" w14:textId="6CC782A7" w:rsidR="00996E9E" w:rsidRPr="00D50CDE" w:rsidRDefault="00996E9E" w:rsidP="008653DC">
      <w:pPr>
        <w:pStyle w:val="Bullets1"/>
      </w:pPr>
      <w:r w:rsidRPr="00D50CDE">
        <w:rPr>
          <w:b/>
        </w:rPr>
        <w:t xml:space="preserve">Chapter 7: </w:t>
      </w:r>
      <w:r w:rsidR="00D50CDE" w:rsidRPr="00D50CDE">
        <w:rPr>
          <w:b/>
        </w:rPr>
        <w:t>Appendices</w:t>
      </w:r>
    </w:p>
    <w:p w14:paraId="044ADAC7" w14:textId="77777777" w:rsidR="005C2B84" w:rsidRDefault="005C2B84" w:rsidP="005C2B84">
      <w:pPr>
        <w:pStyle w:val="BodyCopy"/>
      </w:pPr>
    </w:p>
    <w:p w14:paraId="337B4694" w14:textId="77777777" w:rsidR="00BE55C1" w:rsidRDefault="00BE55C1" w:rsidP="0049637E">
      <w:pPr>
        <w:pStyle w:val="BodyCopy"/>
        <w:sectPr w:rsidR="00BE55C1" w:rsidSect="0088535F">
          <w:pgSz w:w="16840" w:h="11901" w:orient="landscape" w:code="9"/>
          <w:pgMar w:top="2268" w:right="1304" w:bottom="851" w:left="737" w:header="567" w:footer="284" w:gutter="0"/>
          <w:pgNumType w:start="1"/>
          <w:cols w:num="2" w:space="708"/>
          <w:formProt w:val="0"/>
          <w:docGrid w:linePitch="272"/>
        </w:sectPr>
      </w:pPr>
    </w:p>
    <w:p w14:paraId="294DC364" w14:textId="537B49B7" w:rsidR="008653DC" w:rsidRPr="008653DC" w:rsidRDefault="008653DC" w:rsidP="008653DC">
      <w:pPr>
        <w:pStyle w:val="Heading1"/>
      </w:pPr>
      <w:bookmarkStart w:id="11" w:name="_Toc523318795"/>
      <w:r w:rsidRPr="008653DC">
        <w:rPr>
          <w:rStyle w:val="Heading1Char"/>
          <w:b/>
          <w:bCs/>
          <w:caps/>
        </w:rPr>
        <w:lastRenderedPageBreak/>
        <w:t>Workforce recruitment programs</w:t>
      </w:r>
      <w:bookmarkEnd w:id="11"/>
    </w:p>
    <w:p w14:paraId="2290C3A3" w14:textId="2171E43D" w:rsidR="00B21EAA" w:rsidRDefault="00B21EAA" w:rsidP="00802453">
      <w:pPr>
        <w:pStyle w:val="Heading2"/>
        <w:spacing w:before="0"/>
      </w:pPr>
      <w:bookmarkStart w:id="12" w:name="_Toc523318796"/>
      <w:r>
        <w:t>Rural Pharmacy Scholarship Scheme</w:t>
      </w:r>
      <w:bookmarkEnd w:id="12"/>
    </w:p>
    <w:p w14:paraId="26AE19C9" w14:textId="1545D865" w:rsidR="00B21EAA" w:rsidRDefault="00B21EAA" w:rsidP="00B21EAA">
      <w:pPr>
        <w:pStyle w:val="Heading3"/>
      </w:pPr>
      <w:bookmarkStart w:id="13" w:name="_Toc523318797"/>
      <w:r>
        <w:t>Context</w:t>
      </w:r>
      <w:bookmarkEnd w:id="13"/>
    </w:p>
    <w:p w14:paraId="001FF822" w14:textId="77777777" w:rsidR="00B21EAA" w:rsidRPr="005C3E61" w:rsidRDefault="00B21EAA" w:rsidP="00B21EAA">
      <w:pPr>
        <w:pStyle w:val="Heading4"/>
      </w:pPr>
      <w:r w:rsidRPr="005C3E61">
        <w:t xml:space="preserve">Target population </w:t>
      </w:r>
    </w:p>
    <w:p w14:paraId="5B36811B" w14:textId="0A6C9697" w:rsidR="00D22E9D" w:rsidRDefault="00B21EAA" w:rsidP="00D22E9D">
      <w:pPr>
        <w:pStyle w:val="BodyCopy"/>
      </w:pPr>
      <w:r>
        <w:t>The Rural Pharmacy</w:t>
      </w:r>
      <w:r w:rsidR="00D22E9D">
        <w:t xml:space="preserve"> </w:t>
      </w:r>
      <w:r>
        <w:t>Scholarship Scheme supports students from rural and remote areas (Pharmacy Access / Remoteness Index of Australia (</w:t>
      </w:r>
      <w:proofErr w:type="spellStart"/>
      <w:r>
        <w:t>PhARIA</w:t>
      </w:r>
      <w:proofErr w:type="spellEnd"/>
      <w:r>
        <w:t>) 2</w:t>
      </w:r>
      <w:r w:rsidR="00451739">
        <w:t>–</w:t>
      </w:r>
      <w:r>
        <w:t>6) to study a pharmacy course at an Australian university.</w:t>
      </w:r>
      <w:r w:rsidR="00D22E9D">
        <w:t xml:space="preserve"> The Pharmacy Access / Remoteness Index of Australia (</w:t>
      </w:r>
      <w:proofErr w:type="spellStart"/>
      <w:r w:rsidR="00D22E9D">
        <w:t>PhARIA</w:t>
      </w:r>
      <w:proofErr w:type="spellEnd"/>
      <w:r w:rsidR="00D22E9D">
        <w:t xml:space="preserve">) is a tool used to determine rural and remote location eligible for the Pharmacy Workforce Programs. </w:t>
      </w:r>
      <w:proofErr w:type="spellStart"/>
      <w:r w:rsidR="00D22E9D">
        <w:t>PhARIA</w:t>
      </w:r>
      <w:proofErr w:type="spellEnd"/>
      <w:r w:rsidR="00D22E9D">
        <w:t xml:space="preserve"> is a composite index incorporating the geographic distance from major cities determined by the Accessibility / Remoteness Index for Australia (ARIA) and </w:t>
      </w:r>
      <w:r w:rsidR="00D22E9D" w:rsidRPr="00181361">
        <w:t>a professional isolation component represented by t</w:t>
      </w:r>
      <w:r w:rsidR="00D22E9D">
        <w:t>he road distance to the five</w:t>
      </w:r>
      <w:r w:rsidR="00D22E9D" w:rsidRPr="00181361">
        <w:t xml:space="preserve"> closest pharmacies.</w:t>
      </w:r>
      <w:r w:rsidR="00D22E9D">
        <w:t xml:space="preserve"> </w:t>
      </w:r>
      <w:sdt>
        <w:sdtPr>
          <w:id w:val="1408266174"/>
          <w:citation/>
        </w:sdtPr>
        <w:sdtContent>
          <w:r w:rsidR="00D22E9D">
            <w:fldChar w:fldCharType="begin"/>
          </w:r>
          <w:r w:rsidR="00D22E9D">
            <w:instrText xml:space="preserve"> CITATION Uni17 \l 3081 </w:instrText>
          </w:r>
          <w:r w:rsidR="00D22E9D">
            <w:fldChar w:fldCharType="separate"/>
          </w:r>
          <w:r w:rsidR="0089011F" w:rsidRPr="0089011F">
            <w:rPr>
              <w:noProof/>
            </w:rPr>
            <w:t>[2]</w:t>
          </w:r>
          <w:r w:rsidR="00D22E9D">
            <w:fldChar w:fldCharType="end"/>
          </w:r>
        </w:sdtContent>
      </w:sdt>
      <w:r w:rsidR="00D22E9D">
        <w:t xml:space="preserve"> </w:t>
      </w:r>
    </w:p>
    <w:p w14:paraId="657EE819" w14:textId="22855C91" w:rsidR="00B21EAA" w:rsidRDefault="00B21EAA" w:rsidP="00B21EAA">
      <w:pPr>
        <w:pStyle w:val="BodyCopy"/>
      </w:pPr>
      <w:r>
        <w:t>Students</w:t>
      </w:r>
      <w:r w:rsidR="00D22E9D">
        <w:t xml:space="preserve"> receiving the Rural Pharmacy Scholarship</w:t>
      </w:r>
      <w:r>
        <w:t xml:space="preserve"> must be Australian citizens or permanent residents to be eligible for the scholarship. </w:t>
      </w:r>
      <w:sdt>
        <w:sdtPr>
          <w:id w:val="-451022694"/>
          <w:citation/>
        </w:sdtPr>
        <w:sdtContent>
          <w:r>
            <w:fldChar w:fldCharType="begin"/>
          </w:r>
          <w:r>
            <w:instrText xml:space="preserve"> CITATION The151 \l 3081 </w:instrText>
          </w:r>
          <w:r>
            <w:fldChar w:fldCharType="separate"/>
          </w:r>
          <w:r w:rsidR="0089011F" w:rsidRPr="0089011F">
            <w:rPr>
              <w:noProof/>
            </w:rPr>
            <w:t>[3]</w:t>
          </w:r>
          <w:r>
            <w:fldChar w:fldCharType="end"/>
          </w:r>
        </w:sdtContent>
      </w:sdt>
      <w:r>
        <w:t xml:space="preserve"> To qualify, a student must have resided in a </w:t>
      </w:r>
      <w:proofErr w:type="spellStart"/>
      <w:r>
        <w:t>PhARIA</w:t>
      </w:r>
      <w:proofErr w:type="spellEnd"/>
      <w:r>
        <w:t xml:space="preserve"> 2</w:t>
      </w:r>
      <w:r w:rsidR="00451739">
        <w:t>–</w:t>
      </w:r>
      <w:r>
        <w:t xml:space="preserve">6 area for five consecutive years or eight cumulative years from five years of age.  </w:t>
      </w:r>
    </w:p>
    <w:p w14:paraId="509AE651" w14:textId="7A1CACAC" w:rsidR="00B21EAA" w:rsidRPr="00884DCB" w:rsidRDefault="00B21EAA" w:rsidP="00B21EAA">
      <w:pPr>
        <w:pStyle w:val="Heading4"/>
      </w:pPr>
      <w:r w:rsidRPr="00884DCB">
        <w:t xml:space="preserve">Program </w:t>
      </w:r>
      <w:r w:rsidR="00667940">
        <w:t>aim</w:t>
      </w:r>
    </w:p>
    <w:p w14:paraId="6182947B" w14:textId="5375BAD0" w:rsidR="00B21EAA" w:rsidRDefault="00B21EAA" w:rsidP="00B21EAA">
      <w:pPr>
        <w:pStyle w:val="BodyCopy"/>
      </w:pPr>
      <w:r w:rsidRPr="004968C4">
        <w:t>The Scholarship Scheme aims to encourage and enable students from rural and remote communities to undertake undergraduate and graduate entry studies in pharmacy at university, leading to a registrable qualification as a pharmacist.</w:t>
      </w:r>
    </w:p>
    <w:p w14:paraId="69871177" w14:textId="77777777" w:rsidR="00B21EAA" w:rsidRPr="00884DCB" w:rsidRDefault="00B21EAA" w:rsidP="00B21EAA">
      <w:pPr>
        <w:pStyle w:val="Heading4"/>
      </w:pPr>
      <w:r w:rsidRPr="00884DCB">
        <w:t>Program delivery method</w:t>
      </w:r>
    </w:p>
    <w:p w14:paraId="7DB5F9D0" w14:textId="0D498A0C" w:rsidR="00B21EAA" w:rsidRPr="00A103D7" w:rsidRDefault="00B21EAA" w:rsidP="00B21EAA">
      <w:pPr>
        <w:pStyle w:val="BodyCopy"/>
      </w:pPr>
      <w:r>
        <w:t xml:space="preserve">The Scholarship Scheme provides financial support in the form of scholarships (value of </w:t>
      </w:r>
      <w:r>
        <w:rPr>
          <w:rFonts w:ascii="Times New Roman" w:hAnsi="Times New Roman"/>
        </w:rPr>
        <w:t>$</w:t>
      </w:r>
      <w:r>
        <w:t xml:space="preserve">10,000 per annum, GST exempt) to students from rural and remote areas </w:t>
      </w:r>
      <w:r>
        <w:t>(</w:t>
      </w:r>
      <w:proofErr w:type="spellStart"/>
      <w:r>
        <w:t>PhARIA</w:t>
      </w:r>
      <w:proofErr w:type="spellEnd"/>
      <w:r>
        <w:t xml:space="preserve"> 2</w:t>
      </w:r>
      <w:r w:rsidR="00451739">
        <w:t>–</w:t>
      </w:r>
      <w:r>
        <w:t xml:space="preserve">6) studying an undergraduate or graduate course at an Australian university that leads directly to a registrable qualification as a pharmacist. Students can apply for a scholarship at any point during their studies, with a maximum payment of </w:t>
      </w:r>
      <w:r>
        <w:rPr>
          <w:rFonts w:ascii="Times New Roman" w:hAnsi="Times New Roman"/>
        </w:rPr>
        <w:t>$</w:t>
      </w:r>
      <w:r>
        <w:t xml:space="preserve">40,000 available to students over a four-year period. </w:t>
      </w:r>
      <w:sdt>
        <w:sdtPr>
          <w:id w:val="-1442444081"/>
          <w:citation/>
        </w:sdtPr>
        <w:sdtContent>
          <w:r>
            <w:fldChar w:fldCharType="begin"/>
          </w:r>
          <w:r>
            <w:instrText xml:space="preserve"> CITATION The151 \l 3081 </w:instrText>
          </w:r>
          <w:r>
            <w:fldChar w:fldCharType="separate"/>
          </w:r>
          <w:r w:rsidR="0089011F" w:rsidRPr="0089011F">
            <w:rPr>
              <w:noProof/>
            </w:rPr>
            <w:t>[3]</w:t>
          </w:r>
          <w:r>
            <w:fldChar w:fldCharType="end"/>
          </w:r>
        </w:sdtContent>
      </w:sdt>
      <w:r>
        <w:t xml:space="preserve"> </w:t>
      </w:r>
    </w:p>
    <w:p w14:paraId="493D9CDE" w14:textId="77777777" w:rsidR="00B21EAA" w:rsidRDefault="00B21EAA" w:rsidP="00B21EAA">
      <w:pPr>
        <w:pStyle w:val="BodyCopy"/>
      </w:pPr>
      <w:r>
        <w:t>The responsibilities of scholarship recipients include compliance with the following requirements:</w:t>
      </w:r>
    </w:p>
    <w:p w14:paraId="5BB7D7AC" w14:textId="77777777" w:rsidR="00B21EAA" w:rsidRDefault="00B21EAA" w:rsidP="00B21EAA">
      <w:pPr>
        <w:pStyle w:val="Bullets1"/>
      </w:pPr>
      <w:r>
        <w:t>maintain membership with their University’s student Rural Health club</w:t>
      </w:r>
    </w:p>
    <w:p w14:paraId="36D9D852" w14:textId="77777777" w:rsidR="00B21EAA" w:rsidRDefault="00B21EAA" w:rsidP="00B21EAA">
      <w:pPr>
        <w:pStyle w:val="Bullets1"/>
      </w:pPr>
      <w:r>
        <w:t>maintain at least quarterly contact with their nominated mentor under the Rural Pharmacy Scholarship Mentor Scheme (see Section 2.1.2)</w:t>
      </w:r>
    </w:p>
    <w:p w14:paraId="5E4C9EC6" w14:textId="77777777" w:rsidR="00B21EAA" w:rsidRDefault="00B21EAA" w:rsidP="00B21EAA">
      <w:pPr>
        <w:pStyle w:val="Bullets1"/>
      </w:pPr>
      <w:r>
        <w:t>develop, agree and execute a Learning Plan with their nominated mentor, and</w:t>
      </w:r>
    </w:p>
    <w:p w14:paraId="3C73FBBB" w14:textId="3E28BB23" w:rsidR="00B21EAA" w:rsidRDefault="00B21EAA" w:rsidP="00B21EAA">
      <w:pPr>
        <w:pStyle w:val="Bullets1"/>
      </w:pPr>
      <w:r>
        <w:t xml:space="preserve">undertake rural activities throughout the academic year. </w:t>
      </w:r>
      <w:sdt>
        <w:sdtPr>
          <w:id w:val="735519353"/>
          <w:citation/>
        </w:sdtPr>
        <w:sdtContent>
          <w:r>
            <w:fldChar w:fldCharType="begin"/>
          </w:r>
          <w:r>
            <w:instrText xml:space="preserve"> CITATION Six15 \l 3081 </w:instrText>
          </w:r>
          <w:r>
            <w:fldChar w:fldCharType="separate"/>
          </w:r>
          <w:r w:rsidR="0089011F" w:rsidRPr="0089011F">
            <w:rPr>
              <w:noProof/>
            </w:rPr>
            <w:t>[4]</w:t>
          </w:r>
          <w:r>
            <w:fldChar w:fldCharType="end"/>
          </w:r>
        </w:sdtContent>
      </w:sdt>
    </w:p>
    <w:p w14:paraId="488CFAB1" w14:textId="77777777" w:rsidR="00B21EAA" w:rsidRPr="00884DCB" w:rsidRDefault="00B21EAA" w:rsidP="00B21EAA">
      <w:pPr>
        <w:pStyle w:val="Heading4"/>
      </w:pPr>
      <w:r w:rsidRPr="00884DCB">
        <w:t>Program volumes</w:t>
      </w:r>
    </w:p>
    <w:p w14:paraId="637A3642" w14:textId="6444A6CC" w:rsidR="00B21EAA" w:rsidRPr="00A103D7" w:rsidRDefault="00B21EAA" w:rsidP="00B21EAA">
      <w:pPr>
        <w:pStyle w:val="BodyCopy"/>
      </w:pPr>
      <w:r>
        <w:t xml:space="preserve">Program-specific guidelines state at least 30 new scholarships are offered each year. </w:t>
      </w:r>
      <w:r w:rsidRPr="00CA68ED">
        <w:t>Program data indicates 43 new scholarships were offered in the 2015 calendar year.</w:t>
      </w:r>
      <w:r>
        <w:t xml:space="preserve"> </w:t>
      </w:r>
      <w:sdt>
        <w:sdtPr>
          <w:id w:val="1560661333"/>
          <w:citation/>
        </w:sdtPr>
        <w:sdtContent>
          <w:r>
            <w:fldChar w:fldCharType="begin"/>
          </w:r>
          <w:r>
            <w:instrText xml:space="preserve"> CITATION The151 \l 3081  \m The162</w:instrText>
          </w:r>
          <w:r>
            <w:fldChar w:fldCharType="separate"/>
          </w:r>
          <w:r w:rsidR="0089011F" w:rsidRPr="0089011F">
            <w:rPr>
              <w:noProof/>
            </w:rPr>
            <w:t>[3, 5]</w:t>
          </w:r>
          <w:r>
            <w:fldChar w:fldCharType="end"/>
          </w:r>
        </w:sdtContent>
      </w:sdt>
      <w:r>
        <w:t xml:space="preserve"> Program data from 2014</w:t>
      </w:r>
      <w:r w:rsidR="00451739">
        <w:t>–</w:t>
      </w:r>
      <w:r>
        <w:t>2016 indicates</w:t>
      </w:r>
      <w:r w:rsidR="00451739">
        <w:t>,</w:t>
      </w:r>
      <w:r>
        <w:t xml:space="preserve"> on average, 101 active scholarships are held by students across all cohorts (study years 1</w:t>
      </w:r>
      <w:r w:rsidR="00451739">
        <w:t>–</w:t>
      </w:r>
      <w:r>
        <w:t xml:space="preserve">4) each calendar year. </w:t>
      </w:r>
      <w:sdt>
        <w:sdtPr>
          <w:id w:val="1773741437"/>
          <w:citation/>
        </w:sdtPr>
        <w:sdtContent>
          <w:r>
            <w:fldChar w:fldCharType="begin"/>
          </w:r>
          <w:r>
            <w:instrText xml:space="preserve"> CITATION The162 \l 3081 </w:instrText>
          </w:r>
          <w:r>
            <w:fldChar w:fldCharType="separate"/>
          </w:r>
          <w:r w:rsidR="0089011F" w:rsidRPr="0089011F">
            <w:rPr>
              <w:noProof/>
            </w:rPr>
            <w:t>[5]</w:t>
          </w:r>
          <w:r>
            <w:fldChar w:fldCharType="end"/>
          </w:r>
        </w:sdtContent>
      </w:sdt>
      <w:r>
        <w:t xml:space="preserve"> This includes new and continuing scholarships. </w:t>
      </w:r>
    </w:p>
    <w:p w14:paraId="628079A3" w14:textId="77777777" w:rsidR="00B21EAA" w:rsidRPr="00B21EAA" w:rsidRDefault="00B21EAA" w:rsidP="00B21EAA">
      <w:pPr>
        <w:pStyle w:val="Heading3"/>
      </w:pPr>
      <w:bookmarkStart w:id="14" w:name="_Ref487782321"/>
      <w:bookmarkStart w:id="15" w:name="_Toc523318798"/>
      <w:r w:rsidRPr="00B21EAA">
        <w:t>Evaluation findings</w:t>
      </w:r>
      <w:bookmarkEnd w:id="14"/>
      <w:bookmarkEnd w:id="15"/>
    </w:p>
    <w:p w14:paraId="75C73F1F" w14:textId="77777777" w:rsidR="00B21EAA" w:rsidRPr="00884DCB" w:rsidRDefault="00B21EAA" w:rsidP="00B21EAA">
      <w:pPr>
        <w:pStyle w:val="Heading4"/>
      </w:pPr>
      <w:r w:rsidRPr="00884DCB">
        <w:t>Appropriateness</w:t>
      </w:r>
    </w:p>
    <w:p w14:paraId="77CD9174" w14:textId="59E04A26" w:rsidR="00B21EAA" w:rsidRDefault="00B21EAA" w:rsidP="00B21EAA">
      <w:pPr>
        <w:pStyle w:val="BodyCopy"/>
      </w:pPr>
      <w:r>
        <w:t xml:space="preserve">The main intent of the Scholarship Scheme is supported by literature. A review of Australian and international literature by Wilson et al found strong evidence that people from a rural background were more likely to pursue rural </w:t>
      </w:r>
      <w:r w:rsidR="00451739">
        <w:t xml:space="preserve">practice </w:t>
      </w:r>
      <w:r>
        <w:t xml:space="preserve">and choose a rural area as their first practice location. </w:t>
      </w:r>
      <w:sdt>
        <w:sdtPr>
          <w:id w:val="1074000749"/>
          <w:citation/>
        </w:sdtPr>
        <w:sdtContent>
          <w:r>
            <w:fldChar w:fldCharType="begin"/>
          </w:r>
          <w:r>
            <w:instrText xml:space="preserve"> CITATION Wil09 \l 3081 </w:instrText>
          </w:r>
          <w:r>
            <w:fldChar w:fldCharType="separate"/>
          </w:r>
          <w:r w:rsidR="0089011F" w:rsidRPr="0089011F">
            <w:rPr>
              <w:noProof/>
            </w:rPr>
            <w:t>[6]</w:t>
          </w:r>
          <w:r>
            <w:fldChar w:fldCharType="end"/>
          </w:r>
        </w:sdtContent>
      </w:sdt>
      <w:r>
        <w:t xml:space="preserve"> Other reviews have confirmed this finding. </w:t>
      </w:r>
      <w:sdt>
        <w:sdtPr>
          <w:id w:val="42492915"/>
          <w:citation/>
        </w:sdtPr>
        <w:sdtContent>
          <w:r>
            <w:fldChar w:fldCharType="begin"/>
          </w:r>
          <w:r>
            <w:instrText xml:space="preserve"> CITATION Kat13 \l 3081  \m Dun03 \m Wal121 \m Hen09</w:instrText>
          </w:r>
          <w:r>
            <w:fldChar w:fldCharType="separate"/>
          </w:r>
          <w:r w:rsidR="0089011F" w:rsidRPr="0089011F">
            <w:rPr>
              <w:noProof/>
            </w:rPr>
            <w:t>[7, 8, 9, 10]</w:t>
          </w:r>
          <w:r>
            <w:fldChar w:fldCharType="end"/>
          </w:r>
        </w:sdtContent>
      </w:sdt>
      <w:r>
        <w:t xml:space="preserve"> </w:t>
      </w:r>
    </w:p>
    <w:p w14:paraId="2451FF76" w14:textId="5210BFDF" w:rsidR="00B21EAA" w:rsidRDefault="00B21EAA" w:rsidP="00B21EAA">
      <w:pPr>
        <w:pStyle w:val="BodyCopy"/>
      </w:pPr>
      <w:r>
        <w:t>This finding was supported by survey data. Of the 13 scholarship recipients who answered the question, 77% indicated they</w:t>
      </w:r>
      <w:r w:rsidR="00271047">
        <w:t xml:space="preserve"> had a prior intention to practise in a rural area after completing</w:t>
      </w:r>
      <w:r>
        <w:t xml:space="preserve"> studies as a pharmacist. Availability of the scholarship had a weak to moderate influence on students’ intention to practise rurally. This may be </w:t>
      </w:r>
      <w:r>
        <w:lastRenderedPageBreak/>
        <w:t xml:space="preserve">due to the high proportion of students who had a prior intention to practise in a rural area. </w:t>
      </w:r>
    </w:p>
    <w:p w14:paraId="78C21021" w14:textId="03C5410E" w:rsidR="00271047" w:rsidRDefault="00B21EAA" w:rsidP="00B21EAA">
      <w:pPr>
        <w:pStyle w:val="BodyCopy"/>
      </w:pPr>
      <w:r>
        <w:t xml:space="preserve">Conversely, several papers have identified a lack of evidence supporting the effectiveness of scholarship schemes in promoting recruitment and retention of staff in a rural health workforce. </w:t>
      </w:r>
      <w:sdt>
        <w:sdtPr>
          <w:id w:val="-567572789"/>
          <w:citation/>
        </w:sdtPr>
        <w:sdtContent>
          <w:r>
            <w:fldChar w:fldCharType="begin"/>
          </w:r>
          <w:r>
            <w:instrText xml:space="preserve"> CITATION Mas13 \l 3081  \m Dev13</w:instrText>
          </w:r>
          <w:r>
            <w:fldChar w:fldCharType="separate"/>
          </w:r>
          <w:r w:rsidR="0089011F" w:rsidRPr="0089011F">
            <w:rPr>
              <w:noProof/>
            </w:rPr>
            <w:t>[11, 12]</w:t>
          </w:r>
          <w:r>
            <w:fldChar w:fldCharType="end"/>
          </w:r>
        </w:sdtContent>
      </w:sdt>
      <w:r>
        <w:t xml:space="preserve"> A mixed methods study by Devine, Williams and Nielsen on the effectiveness of the Queensland Health Rural Scholarship Scheme (Allied Health) in retaining allied health professionals in rural areas could not directly associate workforce outcomes with the Scheme. </w:t>
      </w:r>
      <w:sdt>
        <w:sdtPr>
          <w:id w:val="-1865662066"/>
          <w:citation/>
        </w:sdtPr>
        <w:sdtContent>
          <w:r>
            <w:fldChar w:fldCharType="begin"/>
          </w:r>
          <w:r>
            <w:instrText xml:space="preserve"> CITATION Dev13 \l 3081 </w:instrText>
          </w:r>
          <w:r>
            <w:fldChar w:fldCharType="separate"/>
          </w:r>
          <w:r w:rsidR="0089011F" w:rsidRPr="0089011F">
            <w:rPr>
              <w:noProof/>
            </w:rPr>
            <w:t>[12]</w:t>
          </w:r>
          <w:r>
            <w:fldChar w:fldCharType="end"/>
          </w:r>
        </w:sdtContent>
      </w:sdt>
      <w:r>
        <w:t xml:space="preserve"> The authors suggested this nil effect was due to many scholarship holders having a prior interest in working in rural areas, regardless of whether a scholarship was received. Despite this, the scheme was highly valued by participants.</w:t>
      </w:r>
      <w:sdt>
        <w:sdtPr>
          <w:id w:val="-34965995"/>
          <w:citation/>
        </w:sdtPr>
        <w:sdtContent>
          <w:r>
            <w:fldChar w:fldCharType="begin"/>
          </w:r>
          <w:r>
            <w:instrText xml:space="preserve"> CITATION Dev13 \l 3081 </w:instrText>
          </w:r>
          <w:r>
            <w:fldChar w:fldCharType="separate"/>
          </w:r>
          <w:r w:rsidR="0089011F">
            <w:rPr>
              <w:noProof/>
            </w:rPr>
            <w:t xml:space="preserve"> </w:t>
          </w:r>
          <w:r w:rsidR="0089011F" w:rsidRPr="0089011F">
            <w:rPr>
              <w:noProof/>
            </w:rPr>
            <w:t>[12]</w:t>
          </w:r>
          <w:r>
            <w:fldChar w:fldCharType="end"/>
          </w:r>
        </w:sdtContent>
      </w:sdt>
      <w:r>
        <w:t xml:space="preserve"> </w:t>
      </w:r>
    </w:p>
    <w:p w14:paraId="47F1C004" w14:textId="44B4D8A2" w:rsidR="00B21EAA" w:rsidRDefault="00B21EAA" w:rsidP="00B21EAA">
      <w:pPr>
        <w:pStyle w:val="BodyCopy"/>
      </w:pPr>
      <w:r>
        <w:t>It is important to note the Queensland scheme involved a Return of Service</w:t>
      </w:r>
      <w:r w:rsidR="00271047">
        <w:t xml:space="preserve"> </w:t>
      </w:r>
      <w:r w:rsidR="00C57B2C">
        <w:t>(RSO) period, unlike the Pharmacy S</w:t>
      </w:r>
      <w:r>
        <w:t>cholarship. Scholarship programs with a</w:t>
      </w:r>
      <w:r w:rsidR="00526053">
        <w:t>n</w:t>
      </w:r>
      <w:r>
        <w:t xml:space="preserve"> RSO period experience higher rates of </w:t>
      </w:r>
      <w:r w:rsidR="00526053">
        <w:t>drop-</w:t>
      </w:r>
      <w:r>
        <w:t xml:space="preserve">out and may stigmatise rural </w:t>
      </w:r>
      <w:r w:rsidR="00451739">
        <w:t>practice</w:t>
      </w:r>
      <w:r>
        <w:t xml:space="preserve">. </w:t>
      </w:r>
      <w:sdt>
        <w:sdtPr>
          <w:id w:val="-455104563"/>
          <w:citation/>
        </w:sdtPr>
        <w:sdtContent>
          <w:r>
            <w:fldChar w:fldCharType="begin"/>
          </w:r>
          <w:r>
            <w:instrText xml:space="preserve"> CITATION Bar09 \l 3081  \m Mas13</w:instrText>
          </w:r>
          <w:r>
            <w:fldChar w:fldCharType="separate"/>
          </w:r>
          <w:r w:rsidR="0089011F" w:rsidRPr="0089011F">
            <w:rPr>
              <w:noProof/>
            </w:rPr>
            <w:t>[13, 11]</w:t>
          </w:r>
          <w:r>
            <w:fldChar w:fldCharType="end"/>
          </w:r>
        </w:sdtContent>
      </w:sdt>
      <w:r w:rsidR="00271047">
        <w:t xml:space="preserve"> Other comparable schemes including the </w:t>
      </w:r>
      <w:r w:rsidR="00526053" w:rsidRPr="00BD5028">
        <w:t>Nursing and Allied Health Scholarship and Support Scheme (NAHSSS)</w:t>
      </w:r>
      <w:r w:rsidR="00526053">
        <w:t xml:space="preserve"> and the </w:t>
      </w:r>
      <w:r w:rsidR="00526053" w:rsidRPr="00BD5028">
        <w:t>Rural Australia Medical Undergraduate Scholarship (RAMUS)</w:t>
      </w:r>
      <w:r w:rsidR="00271047">
        <w:t xml:space="preserve"> do not bond recipients to an RSO. However, the new Health Workforce Scholarship Program to be rolled out this year will require return of service for some ‘higher value scholarships’.</w:t>
      </w:r>
      <w:sdt>
        <w:sdtPr>
          <w:id w:val="499857456"/>
          <w:citation/>
        </w:sdtPr>
        <w:sdtContent>
          <w:r w:rsidR="00271047">
            <w:fldChar w:fldCharType="begin"/>
          </w:r>
          <w:r w:rsidR="00271047">
            <w:instrText xml:space="preserve"> CITATION Aus171 \l 3081 </w:instrText>
          </w:r>
          <w:r w:rsidR="00271047">
            <w:fldChar w:fldCharType="separate"/>
          </w:r>
          <w:r w:rsidR="0089011F">
            <w:rPr>
              <w:noProof/>
            </w:rPr>
            <w:t xml:space="preserve"> </w:t>
          </w:r>
          <w:r w:rsidR="0089011F" w:rsidRPr="0089011F">
            <w:rPr>
              <w:noProof/>
            </w:rPr>
            <w:t>[14]</w:t>
          </w:r>
          <w:r w:rsidR="00271047">
            <w:fldChar w:fldCharType="end"/>
          </w:r>
        </w:sdtContent>
      </w:sdt>
      <w:r w:rsidR="00271047">
        <w:t xml:space="preserve"> Until 2015, the Bonded Medical Places (BMP) Scheme included a</w:t>
      </w:r>
      <w:r w:rsidR="00526053">
        <w:t>n</w:t>
      </w:r>
      <w:r w:rsidR="00271047">
        <w:t xml:space="preserve"> RSO period of up to six years for participating rural doctors. </w:t>
      </w:r>
      <w:sdt>
        <w:sdtPr>
          <w:id w:val="-27184217"/>
          <w:citation/>
        </w:sdtPr>
        <w:sdtContent>
          <w:r w:rsidR="00271047">
            <w:fldChar w:fldCharType="begin"/>
          </w:r>
          <w:r w:rsidR="00271047">
            <w:instrText xml:space="preserve"> CITATION Aus16 \l 3081 </w:instrText>
          </w:r>
          <w:r w:rsidR="00271047">
            <w:fldChar w:fldCharType="separate"/>
          </w:r>
          <w:r w:rsidR="0089011F" w:rsidRPr="0089011F">
            <w:rPr>
              <w:noProof/>
            </w:rPr>
            <w:t>[15]</w:t>
          </w:r>
          <w:r w:rsidR="00271047">
            <w:fldChar w:fldCharType="end"/>
          </w:r>
        </w:sdtContent>
      </w:sdt>
      <w:r w:rsidR="00271047">
        <w:t xml:space="preserve"> The RSO period of the BMP Scheme was recently reduced to one year following high rates of participant drop-out.</w:t>
      </w:r>
      <w:sdt>
        <w:sdtPr>
          <w:id w:val="-619606340"/>
          <w:citation/>
        </w:sdtPr>
        <w:sdtContent>
          <w:r w:rsidR="00271047">
            <w:fldChar w:fldCharType="begin"/>
          </w:r>
          <w:r w:rsidR="00271047">
            <w:instrText xml:space="preserve"> CITATION Mas13 \l 3081 </w:instrText>
          </w:r>
          <w:r w:rsidR="00271047">
            <w:fldChar w:fldCharType="separate"/>
          </w:r>
          <w:r w:rsidR="0089011F">
            <w:rPr>
              <w:noProof/>
            </w:rPr>
            <w:t xml:space="preserve"> </w:t>
          </w:r>
          <w:r w:rsidR="0089011F" w:rsidRPr="0089011F">
            <w:rPr>
              <w:noProof/>
            </w:rPr>
            <w:t>[11]</w:t>
          </w:r>
          <w:r w:rsidR="00271047">
            <w:fldChar w:fldCharType="end"/>
          </w:r>
        </w:sdtContent>
      </w:sdt>
    </w:p>
    <w:p w14:paraId="20604760" w14:textId="754B3528" w:rsidR="00B21EAA" w:rsidRDefault="00B21EAA" w:rsidP="00B21EAA">
      <w:pPr>
        <w:pStyle w:val="BodyCopy"/>
      </w:pPr>
      <w:r>
        <w:t>The value of the scholarship was increased after the</w:t>
      </w:r>
      <w:r w:rsidR="000052D1">
        <w:t xml:space="preserve"> Fourth Community Pharmacy Agreement (4CPA)</w:t>
      </w:r>
      <w:r>
        <w:t xml:space="preserve"> from </w:t>
      </w:r>
      <w:r>
        <w:rPr>
          <w:rFonts w:ascii="Times New Roman" w:hAnsi="Times New Roman"/>
        </w:rPr>
        <w:t>$</w:t>
      </w:r>
      <w:r>
        <w:t xml:space="preserve">6,000 to </w:t>
      </w:r>
      <w:r>
        <w:rPr>
          <w:rFonts w:ascii="Times New Roman" w:hAnsi="Times New Roman"/>
        </w:rPr>
        <w:t>$</w:t>
      </w:r>
      <w:r>
        <w:t xml:space="preserve">10,000 per annum. All scholarship recipients surveyed (n=65) stated the scholarship value of </w:t>
      </w:r>
      <w:r>
        <w:rPr>
          <w:rFonts w:ascii="Times New Roman" w:hAnsi="Times New Roman"/>
        </w:rPr>
        <w:t>$</w:t>
      </w:r>
      <w:r>
        <w:t>10,000 was a helpful contribution to covering the costs of attending university. This value is in line with other rural scholarship schemes including the</w:t>
      </w:r>
      <w:r w:rsidR="00526053">
        <w:t xml:space="preserve"> NAHSS and the RAMUS</w:t>
      </w:r>
      <w:r>
        <w:t xml:space="preserve">. </w:t>
      </w:r>
    </w:p>
    <w:p w14:paraId="289EF343" w14:textId="294CEEE5" w:rsidR="00255E53" w:rsidRDefault="00255E53" w:rsidP="00255E53">
      <w:pPr>
        <w:pStyle w:val="BodyCopy"/>
      </w:pPr>
      <w:r>
        <w:t xml:space="preserve">Peak body stakeholders noted the use of the </w:t>
      </w:r>
      <w:proofErr w:type="spellStart"/>
      <w:r>
        <w:t>PhARIA</w:t>
      </w:r>
      <w:proofErr w:type="spellEnd"/>
      <w:r>
        <w:t xml:space="preserve"> classification system to assess rurality was problematic as it excludes students from regional </w:t>
      </w:r>
      <w:proofErr w:type="spellStart"/>
      <w:r>
        <w:t>PhARIA</w:t>
      </w:r>
      <w:proofErr w:type="spellEnd"/>
      <w:r>
        <w:t xml:space="preserve"> 1 areas, such as Tamworth, </w:t>
      </w:r>
      <w:r w:rsidR="0091563E">
        <w:t>New South Wales</w:t>
      </w:r>
      <w:r>
        <w:t xml:space="preserve">. Recipient consultation revealed significant barriers experienced by students from rural and remote areas who must relocate from the </w:t>
      </w:r>
      <w:r>
        <w:t xml:space="preserve">family home to attend university. Students who reside in regional </w:t>
      </w:r>
      <w:proofErr w:type="spellStart"/>
      <w:r>
        <w:t>PhARIA</w:t>
      </w:r>
      <w:proofErr w:type="spellEnd"/>
      <w:r>
        <w:t xml:space="preserve"> 1 locations may still be required to leave home to attend university. </w:t>
      </w:r>
      <w:r w:rsidR="00641DCA">
        <w:t xml:space="preserve">Other scholarship programs including the NAHSSS used Australian </w:t>
      </w:r>
      <w:r w:rsidR="00582552">
        <w:t xml:space="preserve">Standard </w:t>
      </w:r>
      <w:r w:rsidR="00641DCA">
        <w:t>Geographic</w:t>
      </w:r>
      <w:r w:rsidR="00582552">
        <w:t>al</w:t>
      </w:r>
      <w:r w:rsidR="00641DCA">
        <w:t xml:space="preserve"> Classification – Remoteness Areas (A</w:t>
      </w:r>
      <w:r w:rsidR="00582552">
        <w:t>SG</w:t>
      </w:r>
      <w:r w:rsidR="00641DCA">
        <w:t xml:space="preserve">C-RA) to determine rural origin. If the AGSC-RA was applied to the Pharmacy Scholarship Scheme, students from regional </w:t>
      </w:r>
      <w:proofErr w:type="spellStart"/>
      <w:r w:rsidR="00641DCA">
        <w:t>PhARIA</w:t>
      </w:r>
      <w:proofErr w:type="spellEnd"/>
      <w:r w:rsidR="00641DCA">
        <w:t xml:space="preserve"> 1 areas such as Tamworth, </w:t>
      </w:r>
      <w:r w:rsidR="0091563E">
        <w:t xml:space="preserve">New South Wales, </w:t>
      </w:r>
      <w:r w:rsidR="00641DCA">
        <w:t xml:space="preserve">would be deemed eligible. </w:t>
      </w:r>
    </w:p>
    <w:p w14:paraId="74E70C75" w14:textId="077599FE" w:rsidR="00B21EAA" w:rsidRPr="00582552" w:rsidRDefault="00B21EAA" w:rsidP="00582552">
      <w:pPr>
        <w:pStyle w:val="Appropriatenessassessment"/>
      </w:pPr>
      <w:bookmarkStart w:id="16" w:name="_Ref490045234"/>
      <w:r w:rsidRPr="00582552">
        <w:t xml:space="preserve">The Scholarship Scheme’s </w:t>
      </w:r>
      <w:r w:rsidR="00667940">
        <w:t>aim</w:t>
      </w:r>
      <w:r w:rsidR="00667940" w:rsidRPr="00582552">
        <w:t xml:space="preserve"> </w:t>
      </w:r>
      <w:r w:rsidRPr="00582552">
        <w:t>to support students from rural and remote areas to study a pharmacy course at university is supported</w:t>
      </w:r>
      <w:r w:rsidR="00AD7FD5" w:rsidRPr="00582552">
        <w:t xml:space="preserve"> by literature</w:t>
      </w:r>
      <w:r w:rsidR="0091563E" w:rsidRPr="00582552">
        <w:t>,</w:t>
      </w:r>
      <w:r w:rsidR="00AD7FD5" w:rsidRPr="00582552">
        <w:t xml:space="preserve"> as rural origin is a strong predictor of future rural </w:t>
      </w:r>
      <w:r w:rsidR="0091563E" w:rsidRPr="00582552">
        <w:t>practice</w:t>
      </w:r>
      <w:r w:rsidR="00AD7FD5" w:rsidRPr="00582552">
        <w:t>.</w:t>
      </w:r>
      <w:bookmarkEnd w:id="16"/>
      <w:r w:rsidR="00AD7FD5" w:rsidRPr="00582552">
        <w:t xml:space="preserve"> </w:t>
      </w:r>
    </w:p>
    <w:p w14:paraId="5ED5CA68" w14:textId="77777777" w:rsidR="00AD7FD5" w:rsidRDefault="00AD7FD5" w:rsidP="002E2DEE">
      <w:pPr>
        <w:pStyle w:val="Appropriatenessassessment"/>
      </w:pPr>
      <w:bookmarkStart w:id="17" w:name="_Ref490045240"/>
      <w:r>
        <w:t>The lack of a</w:t>
      </w:r>
      <w:r w:rsidR="0091563E">
        <w:t>n</w:t>
      </w:r>
      <w:r>
        <w:t xml:space="preserve"> RSO period tied to the Scholarship Scheme is in line with other similar programs.</w:t>
      </w:r>
      <w:bookmarkEnd w:id="17"/>
      <w:r>
        <w:t xml:space="preserve"> </w:t>
      </w:r>
    </w:p>
    <w:p w14:paraId="4AC2D2D2" w14:textId="77777777" w:rsidR="00AD7FD5" w:rsidRDefault="00AD7FD5" w:rsidP="002E2DEE">
      <w:pPr>
        <w:pStyle w:val="Appropriatenessassessment"/>
      </w:pPr>
      <w:bookmarkStart w:id="18" w:name="_Ref490045244"/>
      <w:r>
        <w:t xml:space="preserve">The scholarship value is </w:t>
      </w:r>
      <w:r w:rsidR="00255E53">
        <w:t>in line with similar programs and is seen by recipients as a helpful contribution to the costs of study.</w:t>
      </w:r>
      <w:bookmarkEnd w:id="18"/>
    </w:p>
    <w:p w14:paraId="2F1E905E" w14:textId="1B52F2EF" w:rsidR="00641DCA" w:rsidRDefault="00641DCA" w:rsidP="002E2DEE">
      <w:pPr>
        <w:pStyle w:val="Appropriatenessassessment"/>
      </w:pPr>
      <w:bookmarkStart w:id="19" w:name="_Ref490045248"/>
      <w:r>
        <w:t xml:space="preserve">Other scholarship schemes use remoteness classification indexes to determine rural origin that are based on geographic isolation, not workforce coverage, as in </w:t>
      </w:r>
      <w:proofErr w:type="spellStart"/>
      <w:r>
        <w:t>PhARIA</w:t>
      </w:r>
      <w:proofErr w:type="spellEnd"/>
      <w:r>
        <w:t>.</w:t>
      </w:r>
      <w:bookmarkEnd w:id="19"/>
      <w:r>
        <w:t xml:space="preserve"> </w:t>
      </w:r>
    </w:p>
    <w:p w14:paraId="429523F7" w14:textId="77777777" w:rsidR="00B21EAA" w:rsidRPr="00884DCB" w:rsidRDefault="00B21EAA" w:rsidP="00B21EAA">
      <w:pPr>
        <w:pStyle w:val="Heading4"/>
      </w:pPr>
      <w:r w:rsidRPr="00884DCB">
        <w:t>Effectiveness</w:t>
      </w:r>
    </w:p>
    <w:p w14:paraId="6E918EF3" w14:textId="6248A592" w:rsidR="00B21EAA" w:rsidRDefault="00B21EAA" w:rsidP="00B21EAA">
      <w:pPr>
        <w:pStyle w:val="BodyCopy"/>
      </w:pPr>
      <w:r>
        <w:t xml:space="preserve">The </w:t>
      </w:r>
      <w:r w:rsidR="00667940">
        <w:t xml:space="preserve">aim </w:t>
      </w:r>
      <w:r>
        <w:t>of the Scholarship Scheme is to encourage and support students from rural and remote areas (</w:t>
      </w:r>
      <w:proofErr w:type="spellStart"/>
      <w:r>
        <w:t>PhARIA</w:t>
      </w:r>
      <w:proofErr w:type="spellEnd"/>
      <w:r>
        <w:t xml:space="preserve"> 2</w:t>
      </w:r>
      <w:r w:rsidR="0091563E">
        <w:t>–</w:t>
      </w:r>
      <w:r>
        <w:t>6) to undertake a course at an Australian university that leads to a registrable qualification as a pharmacist.</w:t>
      </w:r>
      <w:r w:rsidR="00255E53">
        <w:t xml:space="preserve"> Receipt of a scholarship was a deciding factor for many students who may not have been able to attend university without financial support.</w:t>
      </w:r>
    </w:p>
    <w:p w14:paraId="6125E069" w14:textId="40973017" w:rsidR="00B21EAA" w:rsidRDefault="00B21EAA" w:rsidP="00B21EAA">
      <w:pPr>
        <w:pStyle w:val="BodyCopy"/>
      </w:pPr>
      <w:r>
        <w:fldChar w:fldCharType="begin"/>
      </w:r>
      <w:r>
        <w:instrText xml:space="preserve"> REF _Ref487105494 \h </w:instrText>
      </w:r>
      <w:r>
        <w:fldChar w:fldCharType="separate"/>
      </w:r>
      <w:r w:rsidR="00910E65">
        <w:t xml:space="preserve">Table </w:t>
      </w:r>
      <w:r w:rsidR="00910E65">
        <w:rPr>
          <w:noProof/>
        </w:rPr>
        <w:t>2</w:t>
      </w:r>
      <w:r w:rsidR="00910E65">
        <w:t>.</w:t>
      </w:r>
      <w:r w:rsidR="00910E65">
        <w:rPr>
          <w:noProof/>
        </w:rPr>
        <w:t>1</w:t>
      </w:r>
      <w:r>
        <w:fldChar w:fldCharType="end"/>
      </w:r>
      <w:r>
        <w:t xml:space="preserve"> shows the </w:t>
      </w:r>
      <w:proofErr w:type="spellStart"/>
      <w:r>
        <w:t>PhARIA</w:t>
      </w:r>
      <w:proofErr w:type="spellEnd"/>
      <w:r>
        <w:t xml:space="preserve"> classification of scholarship recipients’ residence by cohort year. </w:t>
      </w:r>
      <w:proofErr w:type="spellStart"/>
      <w:r>
        <w:t>PhARIA</w:t>
      </w:r>
      <w:proofErr w:type="spellEnd"/>
      <w:r>
        <w:t xml:space="preserve"> is generally cl</w:t>
      </w:r>
      <w:r w:rsidR="00255E53">
        <w:t>assified on an index of 1</w:t>
      </w:r>
      <w:r w:rsidR="0091563E">
        <w:t>–</w:t>
      </w:r>
      <w:r w:rsidR="00255E53">
        <w:t>6. Program d</w:t>
      </w:r>
      <w:r>
        <w:t>ata</w:t>
      </w:r>
      <w:r w:rsidR="00255E53">
        <w:t xml:space="preserve"> received from The Pharmacy Guild of Australia (The Guild) included data for </w:t>
      </w:r>
      <w:proofErr w:type="spellStart"/>
      <w:r w:rsidR="00255E53">
        <w:t>PhARIA</w:t>
      </w:r>
      <w:proofErr w:type="spellEnd"/>
      <w:r w:rsidR="00255E53">
        <w:t xml:space="preserve"> 0. This inclusion is considered to be </w:t>
      </w:r>
      <w:r>
        <w:t>an administrative error</w:t>
      </w:r>
      <w:r w:rsidR="00255E53">
        <w:t xml:space="preserve"> on the part of The Guild</w:t>
      </w:r>
      <w:r>
        <w:t xml:space="preserve">. As shown in </w:t>
      </w:r>
      <w:r>
        <w:fldChar w:fldCharType="begin"/>
      </w:r>
      <w:r>
        <w:instrText xml:space="preserve"> REF _Ref487105494 \h </w:instrText>
      </w:r>
      <w:r>
        <w:fldChar w:fldCharType="separate"/>
      </w:r>
      <w:r w:rsidR="00910E65">
        <w:t xml:space="preserve">Table </w:t>
      </w:r>
      <w:r w:rsidR="00910E65">
        <w:rPr>
          <w:noProof/>
        </w:rPr>
        <w:t>2</w:t>
      </w:r>
      <w:r w:rsidR="00910E65">
        <w:t>.</w:t>
      </w:r>
      <w:r w:rsidR="00910E65">
        <w:rPr>
          <w:noProof/>
        </w:rPr>
        <w:t>1</w:t>
      </w:r>
      <w:r>
        <w:fldChar w:fldCharType="end"/>
      </w:r>
      <w:r>
        <w:t xml:space="preserve">, 24% of scholarship recipients resided in a </w:t>
      </w:r>
      <w:proofErr w:type="spellStart"/>
      <w:r>
        <w:t>PhARIA</w:t>
      </w:r>
      <w:proofErr w:type="spellEnd"/>
      <w:r>
        <w:t xml:space="preserve"> 1 location. While students historically residing in </w:t>
      </w:r>
      <w:proofErr w:type="spellStart"/>
      <w:r>
        <w:t>PhARIA</w:t>
      </w:r>
      <w:proofErr w:type="spellEnd"/>
      <w:r>
        <w:t xml:space="preserve"> 1 locations are </w:t>
      </w:r>
      <w:r>
        <w:lastRenderedPageBreak/>
        <w:t xml:space="preserve">ineligible for the scholarship, this figure may include students who previously resided in a </w:t>
      </w:r>
      <w:proofErr w:type="spellStart"/>
      <w:r>
        <w:t>PhARIA</w:t>
      </w:r>
      <w:proofErr w:type="spellEnd"/>
      <w:r>
        <w:t xml:space="preserve"> 2</w:t>
      </w:r>
      <w:r w:rsidR="0091563E">
        <w:t>–</w:t>
      </w:r>
      <w:r>
        <w:t>6 area prior to study.</w:t>
      </w:r>
    </w:p>
    <w:p w14:paraId="051EF7C9" w14:textId="11244586" w:rsidR="00B21EAA" w:rsidRDefault="00B21EAA" w:rsidP="00B21EAA">
      <w:pPr>
        <w:pStyle w:val="BodyCopy"/>
      </w:pPr>
      <w:r>
        <w:t xml:space="preserve">Of the eligible </w:t>
      </w:r>
      <w:proofErr w:type="spellStart"/>
      <w:r>
        <w:t>PhARIA</w:t>
      </w:r>
      <w:proofErr w:type="spellEnd"/>
      <w:r>
        <w:t xml:space="preserve"> locations, 28% of scholarship holders resided in </w:t>
      </w:r>
      <w:proofErr w:type="spellStart"/>
      <w:r>
        <w:t>PhARIA</w:t>
      </w:r>
      <w:proofErr w:type="spellEnd"/>
      <w:r>
        <w:t xml:space="preserve"> 3 areas, followed by 12% in </w:t>
      </w:r>
      <w:proofErr w:type="spellStart"/>
      <w:r>
        <w:t>PhARIA</w:t>
      </w:r>
      <w:proofErr w:type="spellEnd"/>
      <w:r>
        <w:t xml:space="preserve"> 2 and decreasing proportions with increasing remoteness. </w:t>
      </w:r>
    </w:p>
    <w:p w14:paraId="1014931E" w14:textId="57BEE95F" w:rsidR="00B21EAA" w:rsidRDefault="00B21EAA" w:rsidP="00B21EAA">
      <w:pPr>
        <w:pStyle w:val="Caption"/>
        <w:rPr>
          <w:rStyle w:val="Captionnotbold"/>
        </w:rPr>
      </w:pPr>
      <w:bookmarkStart w:id="20" w:name="_Ref487105494"/>
      <w:r>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2</w:t>
      </w:r>
      <w:r w:rsidR="00BC6E6C">
        <w:rPr>
          <w:noProof/>
        </w:rPr>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1</w:t>
      </w:r>
      <w:r w:rsidR="00BC6E6C">
        <w:rPr>
          <w:noProof/>
        </w:rPr>
        <w:fldChar w:fldCharType="end"/>
      </w:r>
      <w:bookmarkEnd w:id="20"/>
      <w:r>
        <w:t xml:space="preserve">: </w:t>
      </w:r>
      <w:proofErr w:type="spellStart"/>
      <w:r>
        <w:rPr>
          <w:rStyle w:val="Captionnotbold"/>
        </w:rPr>
        <w:t>PhARIA</w:t>
      </w:r>
      <w:proofErr w:type="spellEnd"/>
      <w:r>
        <w:rPr>
          <w:rStyle w:val="Captionnotbold"/>
        </w:rPr>
        <w:t xml:space="preserve"> classification of scholarship recipients’ residence, by cohort year</w:t>
      </w:r>
    </w:p>
    <w:tbl>
      <w:tblPr>
        <w:tblStyle w:val="HMATable"/>
        <w:tblW w:w="5000" w:type="pct"/>
        <w:tblLook w:val="04A0" w:firstRow="1" w:lastRow="0" w:firstColumn="1" w:lastColumn="0" w:noHBand="0" w:noVBand="1"/>
        <w:tblCaption w:val="Table 2.1: PhARIA classification of scholarship recipients' residence, by cohort year"/>
        <w:tblDescription w:val="Table 2.1: PhARIA classification of scholarship recipients' residence, by cohort year"/>
      </w:tblPr>
      <w:tblGrid>
        <w:gridCol w:w="1343"/>
        <w:gridCol w:w="710"/>
        <w:gridCol w:w="710"/>
        <w:gridCol w:w="711"/>
        <w:gridCol w:w="712"/>
        <w:gridCol w:w="711"/>
        <w:gridCol w:w="711"/>
        <w:gridCol w:w="711"/>
        <w:gridCol w:w="716"/>
      </w:tblGrid>
      <w:tr w:rsidR="005D4C5D" w14:paraId="4027B64A" w14:textId="77777777" w:rsidTr="004223B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pct"/>
            <w:vAlign w:val="center"/>
          </w:tcPr>
          <w:p w14:paraId="005CA91D" w14:textId="1753EA48" w:rsidR="005D4C5D" w:rsidRDefault="005D4C5D" w:rsidP="00AB5C1D">
            <w:pPr>
              <w:pStyle w:val="TableColumnHeading"/>
            </w:pPr>
          </w:p>
        </w:tc>
        <w:tc>
          <w:tcPr>
            <w:tcW w:w="0" w:type="pct"/>
            <w:gridSpan w:val="8"/>
          </w:tcPr>
          <w:p w14:paraId="7DD06E63" w14:textId="77777777" w:rsidR="005D4C5D" w:rsidRDefault="005D4C5D" w:rsidP="00802453">
            <w:pPr>
              <w:pStyle w:val="TableColumnHeading"/>
              <w:jc w:val="center"/>
              <w:cnfStyle w:val="100000000000" w:firstRow="1" w:lastRow="0" w:firstColumn="0" w:lastColumn="0" w:oddVBand="0" w:evenVBand="0" w:oddHBand="0" w:evenHBand="0" w:firstRowFirstColumn="0" w:firstRowLastColumn="0" w:lastRowFirstColumn="0" w:lastRowLastColumn="0"/>
            </w:pPr>
            <w:proofErr w:type="spellStart"/>
            <w:r>
              <w:t>PhARIA</w:t>
            </w:r>
            <w:proofErr w:type="spellEnd"/>
          </w:p>
        </w:tc>
      </w:tr>
      <w:tr w:rsidR="005D4C5D" w14:paraId="37833B97" w14:textId="77777777" w:rsidTr="00802453">
        <w:tc>
          <w:tcPr>
            <w:cnfStyle w:val="001000000000" w:firstRow="0" w:lastRow="0" w:firstColumn="1" w:lastColumn="0" w:oddVBand="0" w:evenVBand="0" w:oddHBand="0" w:evenHBand="0" w:firstRowFirstColumn="0" w:firstRowLastColumn="0" w:lastRowFirstColumn="0" w:lastRowLastColumn="0"/>
            <w:tcW w:w="955" w:type="pct"/>
            <w:shd w:val="clear" w:color="auto" w:fill="BEBEBE" w:themeFill="accent5"/>
          </w:tcPr>
          <w:p w14:paraId="4E891384" w14:textId="094F7A3E" w:rsidR="005D4C5D" w:rsidRDefault="00EC343A" w:rsidP="00802453">
            <w:pPr>
              <w:pStyle w:val="TableCopy"/>
            </w:pPr>
            <w:r>
              <w:t>Cohort year</w:t>
            </w:r>
          </w:p>
        </w:tc>
        <w:tc>
          <w:tcPr>
            <w:tcW w:w="505" w:type="pct"/>
            <w:shd w:val="clear" w:color="auto" w:fill="BEBEBE" w:themeFill="accent5"/>
          </w:tcPr>
          <w:p w14:paraId="7BBE9899" w14:textId="77777777" w:rsidR="005D4C5D" w:rsidRDefault="005D4C5D" w:rsidP="00802453">
            <w:pPr>
              <w:pStyle w:val="TableColumnHeading"/>
              <w:jc w:val="center"/>
              <w:cnfStyle w:val="000000000000" w:firstRow="0" w:lastRow="0" w:firstColumn="0" w:lastColumn="0" w:oddVBand="0" w:evenVBand="0" w:oddHBand="0" w:evenHBand="0" w:firstRowFirstColumn="0" w:firstRowLastColumn="0" w:lastRowFirstColumn="0" w:lastRowLastColumn="0"/>
            </w:pPr>
            <w:r>
              <w:t>0*</w:t>
            </w:r>
          </w:p>
        </w:tc>
        <w:tc>
          <w:tcPr>
            <w:tcW w:w="505" w:type="pct"/>
            <w:shd w:val="clear" w:color="auto" w:fill="BEBEBE" w:themeFill="accent5"/>
          </w:tcPr>
          <w:p w14:paraId="59F12A21" w14:textId="77777777" w:rsidR="005D4C5D" w:rsidRDefault="005D4C5D" w:rsidP="00802453">
            <w:pPr>
              <w:pStyle w:val="TableColumnHeading"/>
              <w:jc w:val="center"/>
              <w:cnfStyle w:val="000000000000" w:firstRow="0" w:lastRow="0" w:firstColumn="0" w:lastColumn="0" w:oddVBand="0" w:evenVBand="0" w:oddHBand="0" w:evenHBand="0" w:firstRowFirstColumn="0" w:firstRowLastColumn="0" w:lastRowFirstColumn="0" w:lastRowLastColumn="0"/>
            </w:pPr>
            <w:r>
              <w:t>1</w:t>
            </w:r>
          </w:p>
        </w:tc>
        <w:tc>
          <w:tcPr>
            <w:tcW w:w="505" w:type="pct"/>
            <w:shd w:val="clear" w:color="auto" w:fill="BEBEBE" w:themeFill="accent5"/>
          </w:tcPr>
          <w:p w14:paraId="13EA1A45" w14:textId="77777777" w:rsidR="005D4C5D" w:rsidRDefault="005D4C5D" w:rsidP="00802453">
            <w:pPr>
              <w:pStyle w:val="TableColumnHeading"/>
              <w:jc w:val="center"/>
              <w:cnfStyle w:val="000000000000" w:firstRow="0" w:lastRow="0" w:firstColumn="0" w:lastColumn="0" w:oddVBand="0" w:evenVBand="0" w:oddHBand="0" w:evenHBand="0" w:firstRowFirstColumn="0" w:firstRowLastColumn="0" w:lastRowFirstColumn="0" w:lastRowLastColumn="0"/>
            </w:pPr>
            <w:r>
              <w:t>2</w:t>
            </w:r>
          </w:p>
        </w:tc>
        <w:tc>
          <w:tcPr>
            <w:tcW w:w="506" w:type="pct"/>
            <w:shd w:val="clear" w:color="auto" w:fill="BEBEBE" w:themeFill="accent5"/>
          </w:tcPr>
          <w:p w14:paraId="16FE7A39" w14:textId="77777777" w:rsidR="005D4C5D" w:rsidRDefault="005D4C5D" w:rsidP="00802453">
            <w:pPr>
              <w:pStyle w:val="TableColumnHeading"/>
              <w:jc w:val="center"/>
              <w:cnfStyle w:val="000000000000" w:firstRow="0" w:lastRow="0" w:firstColumn="0" w:lastColumn="0" w:oddVBand="0" w:evenVBand="0" w:oddHBand="0" w:evenHBand="0" w:firstRowFirstColumn="0" w:firstRowLastColumn="0" w:lastRowFirstColumn="0" w:lastRowLastColumn="0"/>
            </w:pPr>
            <w:r>
              <w:t>3</w:t>
            </w:r>
          </w:p>
        </w:tc>
        <w:tc>
          <w:tcPr>
            <w:tcW w:w="505" w:type="pct"/>
            <w:shd w:val="clear" w:color="auto" w:fill="BEBEBE" w:themeFill="accent5"/>
          </w:tcPr>
          <w:p w14:paraId="3BA3962D" w14:textId="77777777" w:rsidR="005D4C5D" w:rsidRDefault="005D4C5D" w:rsidP="00802453">
            <w:pPr>
              <w:pStyle w:val="TableColumnHeading"/>
              <w:jc w:val="center"/>
              <w:cnfStyle w:val="000000000000" w:firstRow="0" w:lastRow="0" w:firstColumn="0" w:lastColumn="0" w:oddVBand="0" w:evenVBand="0" w:oddHBand="0" w:evenHBand="0" w:firstRowFirstColumn="0" w:firstRowLastColumn="0" w:lastRowFirstColumn="0" w:lastRowLastColumn="0"/>
            </w:pPr>
            <w:r>
              <w:t>4</w:t>
            </w:r>
          </w:p>
        </w:tc>
        <w:tc>
          <w:tcPr>
            <w:tcW w:w="505" w:type="pct"/>
            <w:shd w:val="clear" w:color="auto" w:fill="BEBEBE" w:themeFill="accent5"/>
          </w:tcPr>
          <w:p w14:paraId="0DC52267" w14:textId="77777777" w:rsidR="005D4C5D" w:rsidRDefault="005D4C5D" w:rsidP="00802453">
            <w:pPr>
              <w:pStyle w:val="TableColumnHeading"/>
              <w:jc w:val="center"/>
              <w:cnfStyle w:val="000000000000" w:firstRow="0" w:lastRow="0" w:firstColumn="0" w:lastColumn="0" w:oddVBand="0" w:evenVBand="0" w:oddHBand="0" w:evenHBand="0" w:firstRowFirstColumn="0" w:firstRowLastColumn="0" w:lastRowFirstColumn="0" w:lastRowLastColumn="0"/>
            </w:pPr>
            <w:r>
              <w:t>5</w:t>
            </w:r>
          </w:p>
        </w:tc>
        <w:tc>
          <w:tcPr>
            <w:tcW w:w="505" w:type="pct"/>
            <w:shd w:val="clear" w:color="auto" w:fill="BEBEBE" w:themeFill="accent5"/>
          </w:tcPr>
          <w:p w14:paraId="5EC58C07" w14:textId="77777777" w:rsidR="005D4C5D" w:rsidRDefault="005D4C5D" w:rsidP="00802453">
            <w:pPr>
              <w:pStyle w:val="TableColumnHeading"/>
              <w:jc w:val="center"/>
              <w:cnfStyle w:val="000000000000" w:firstRow="0" w:lastRow="0" w:firstColumn="0" w:lastColumn="0" w:oddVBand="0" w:evenVBand="0" w:oddHBand="0" w:evenHBand="0" w:firstRowFirstColumn="0" w:firstRowLastColumn="0" w:lastRowFirstColumn="0" w:lastRowLastColumn="0"/>
            </w:pPr>
            <w:r>
              <w:t>6</w:t>
            </w:r>
          </w:p>
        </w:tc>
        <w:tc>
          <w:tcPr>
            <w:tcW w:w="509" w:type="pct"/>
            <w:shd w:val="clear" w:color="auto" w:fill="BEBEBE" w:themeFill="accent5"/>
          </w:tcPr>
          <w:p w14:paraId="5B99D4BD" w14:textId="77777777" w:rsidR="005D4C5D" w:rsidRPr="00CB7687" w:rsidRDefault="005D4C5D" w:rsidP="00802453">
            <w:pPr>
              <w:pStyle w:val="TableColumnHeading"/>
              <w:jc w:val="center"/>
              <w:cnfStyle w:val="000000000000" w:firstRow="0" w:lastRow="0" w:firstColumn="0" w:lastColumn="0" w:oddVBand="0" w:evenVBand="0" w:oddHBand="0" w:evenHBand="0" w:firstRowFirstColumn="0" w:firstRowLastColumn="0" w:lastRowFirstColumn="0" w:lastRowLastColumn="0"/>
              <w:rPr>
                <w:rStyle w:val="Captionnotbold"/>
              </w:rPr>
            </w:pPr>
            <w:r w:rsidRPr="00CB7687">
              <w:rPr>
                <w:rStyle w:val="Captionnotbold"/>
              </w:rPr>
              <w:t>Total</w:t>
            </w:r>
          </w:p>
        </w:tc>
      </w:tr>
      <w:tr w:rsidR="00B21EAA" w14:paraId="21777486" w14:textId="77777777" w:rsidTr="00121EBA">
        <w:tc>
          <w:tcPr>
            <w:cnfStyle w:val="001000000000" w:firstRow="0" w:lastRow="0" w:firstColumn="1" w:lastColumn="0" w:oddVBand="0" w:evenVBand="0" w:oddHBand="0" w:evenHBand="0" w:firstRowFirstColumn="0" w:firstRowLastColumn="0" w:lastRowFirstColumn="0" w:lastRowLastColumn="0"/>
            <w:tcW w:w="0" w:type="pct"/>
          </w:tcPr>
          <w:p w14:paraId="4091DD08" w14:textId="77777777" w:rsidR="00B21EAA" w:rsidRDefault="00B21EAA" w:rsidP="00802453">
            <w:pPr>
              <w:pStyle w:val="TableCopy"/>
            </w:pPr>
            <w:r>
              <w:t>2011</w:t>
            </w:r>
          </w:p>
        </w:tc>
        <w:tc>
          <w:tcPr>
            <w:tcW w:w="0" w:type="pct"/>
            <w:vAlign w:val="center"/>
          </w:tcPr>
          <w:p w14:paraId="36D95931"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8</w:t>
            </w:r>
          </w:p>
        </w:tc>
        <w:tc>
          <w:tcPr>
            <w:tcW w:w="0" w:type="pct"/>
            <w:vAlign w:val="center"/>
          </w:tcPr>
          <w:p w14:paraId="4B3F8C1C"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13</w:t>
            </w:r>
          </w:p>
        </w:tc>
        <w:tc>
          <w:tcPr>
            <w:tcW w:w="0" w:type="pct"/>
            <w:vAlign w:val="center"/>
          </w:tcPr>
          <w:p w14:paraId="5FEEE9CF"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4</w:t>
            </w:r>
          </w:p>
        </w:tc>
        <w:tc>
          <w:tcPr>
            <w:tcW w:w="0" w:type="pct"/>
            <w:vAlign w:val="center"/>
          </w:tcPr>
          <w:p w14:paraId="6B8C89A8"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12</w:t>
            </w:r>
          </w:p>
        </w:tc>
        <w:tc>
          <w:tcPr>
            <w:tcW w:w="0" w:type="pct"/>
            <w:vAlign w:val="center"/>
          </w:tcPr>
          <w:p w14:paraId="0989DB9C"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3</w:t>
            </w:r>
          </w:p>
        </w:tc>
        <w:tc>
          <w:tcPr>
            <w:tcW w:w="0" w:type="pct"/>
            <w:vAlign w:val="center"/>
          </w:tcPr>
          <w:p w14:paraId="08BAA09B"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2</w:t>
            </w:r>
          </w:p>
        </w:tc>
        <w:tc>
          <w:tcPr>
            <w:tcW w:w="0" w:type="pct"/>
            <w:vAlign w:val="center"/>
          </w:tcPr>
          <w:p w14:paraId="7AAFFEDF"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1</w:t>
            </w:r>
          </w:p>
        </w:tc>
        <w:tc>
          <w:tcPr>
            <w:tcW w:w="0" w:type="pct"/>
            <w:vAlign w:val="center"/>
          </w:tcPr>
          <w:p w14:paraId="4CD1A36D"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43</w:t>
            </w:r>
          </w:p>
        </w:tc>
      </w:tr>
      <w:tr w:rsidR="00B21EAA" w14:paraId="641DA8DA" w14:textId="77777777" w:rsidTr="00121EBA">
        <w:tc>
          <w:tcPr>
            <w:cnfStyle w:val="001000000000" w:firstRow="0" w:lastRow="0" w:firstColumn="1" w:lastColumn="0" w:oddVBand="0" w:evenVBand="0" w:oddHBand="0" w:evenHBand="0" w:firstRowFirstColumn="0" w:firstRowLastColumn="0" w:lastRowFirstColumn="0" w:lastRowLastColumn="0"/>
            <w:tcW w:w="0" w:type="pct"/>
          </w:tcPr>
          <w:p w14:paraId="7EBE100B" w14:textId="77777777" w:rsidR="00B21EAA" w:rsidRDefault="00B21EAA" w:rsidP="00802453">
            <w:pPr>
              <w:pStyle w:val="TableCopy"/>
            </w:pPr>
            <w:r>
              <w:t>2012</w:t>
            </w:r>
          </w:p>
        </w:tc>
        <w:tc>
          <w:tcPr>
            <w:tcW w:w="0" w:type="pct"/>
            <w:vAlign w:val="center"/>
          </w:tcPr>
          <w:p w14:paraId="5C7A6E41"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4</w:t>
            </w:r>
          </w:p>
        </w:tc>
        <w:tc>
          <w:tcPr>
            <w:tcW w:w="0" w:type="pct"/>
            <w:vAlign w:val="center"/>
          </w:tcPr>
          <w:p w14:paraId="5FE4A1FB"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13</w:t>
            </w:r>
          </w:p>
        </w:tc>
        <w:tc>
          <w:tcPr>
            <w:tcW w:w="0" w:type="pct"/>
            <w:vAlign w:val="center"/>
          </w:tcPr>
          <w:p w14:paraId="61270960"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2</w:t>
            </w:r>
          </w:p>
        </w:tc>
        <w:tc>
          <w:tcPr>
            <w:tcW w:w="0" w:type="pct"/>
            <w:vAlign w:val="center"/>
          </w:tcPr>
          <w:p w14:paraId="319F96FF"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7</w:t>
            </w:r>
          </w:p>
        </w:tc>
        <w:tc>
          <w:tcPr>
            <w:tcW w:w="0" w:type="pct"/>
            <w:vAlign w:val="center"/>
          </w:tcPr>
          <w:p w14:paraId="5270766C"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6</w:t>
            </w:r>
          </w:p>
        </w:tc>
        <w:tc>
          <w:tcPr>
            <w:tcW w:w="0" w:type="pct"/>
            <w:vAlign w:val="center"/>
          </w:tcPr>
          <w:p w14:paraId="3F7BF982"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4</w:t>
            </w:r>
          </w:p>
        </w:tc>
        <w:tc>
          <w:tcPr>
            <w:tcW w:w="0" w:type="pct"/>
            <w:vAlign w:val="center"/>
          </w:tcPr>
          <w:p w14:paraId="121FB5C3"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5</w:t>
            </w:r>
          </w:p>
        </w:tc>
        <w:tc>
          <w:tcPr>
            <w:tcW w:w="0" w:type="pct"/>
            <w:vAlign w:val="center"/>
          </w:tcPr>
          <w:p w14:paraId="658CC2E5"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41</w:t>
            </w:r>
          </w:p>
        </w:tc>
      </w:tr>
      <w:tr w:rsidR="00B21EAA" w14:paraId="5E4CBBA0" w14:textId="77777777" w:rsidTr="00121EBA">
        <w:tc>
          <w:tcPr>
            <w:cnfStyle w:val="001000000000" w:firstRow="0" w:lastRow="0" w:firstColumn="1" w:lastColumn="0" w:oddVBand="0" w:evenVBand="0" w:oddHBand="0" w:evenHBand="0" w:firstRowFirstColumn="0" w:firstRowLastColumn="0" w:lastRowFirstColumn="0" w:lastRowLastColumn="0"/>
            <w:tcW w:w="0" w:type="pct"/>
          </w:tcPr>
          <w:p w14:paraId="60E38EFB" w14:textId="77777777" w:rsidR="00B21EAA" w:rsidRDefault="00B21EAA" w:rsidP="00802453">
            <w:pPr>
              <w:pStyle w:val="TableCopy"/>
            </w:pPr>
            <w:r>
              <w:t>2013</w:t>
            </w:r>
          </w:p>
        </w:tc>
        <w:tc>
          <w:tcPr>
            <w:tcW w:w="0" w:type="pct"/>
            <w:vAlign w:val="center"/>
          </w:tcPr>
          <w:p w14:paraId="14F12095"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0</w:t>
            </w:r>
          </w:p>
        </w:tc>
        <w:tc>
          <w:tcPr>
            <w:tcW w:w="0" w:type="pct"/>
            <w:vAlign w:val="center"/>
          </w:tcPr>
          <w:p w14:paraId="017BAF1A"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9</w:t>
            </w:r>
          </w:p>
        </w:tc>
        <w:tc>
          <w:tcPr>
            <w:tcW w:w="0" w:type="pct"/>
            <w:vAlign w:val="center"/>
          </w:tcPr>
          <w:p w14:paraId="00F92A0D"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6</w:t>
            </w:r>
          </w:p>
        </w:tc>
        <w:tc>
          <w:tcPr>
            <w:tcW w:w="0" w:type="pct"/>
            <w:vAlign w:val="center"/>
          </w:tcPr>
          <w:p w14:paraId="71CEF1A3"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15</w:t>
            </w:r>
          </w:p>
        </w:tc>
        <w:tc>
          <w:tcPr>
            <w:tcW w:w="0" w:type="pct"/>
            <w:vAlign w:val="center"/>
          </w:tcPr>
          <w:p w14:paraId="2B18F968"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5</w:t>
            </w:r>
          </w:p>
        </w:tc>
        <w:tc>
          <w:tcPr>
            <w:tcW w:w="0" w:type="pct"/>
            <w:vAlign w:val="center"/>
          </w:tcPr>
          <w:p w14:paraId="7824C765"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6</w:t>
            </w:r>
          </w:p>
        </w:tc>
        <w:tc>
          <w:tcPr>
            <w:tcW w:w="0" w:type="pct"/>
            <w:vAlign w:val="center"/>
          </w:tcPr>
          <w:p w14:paraId="36026BDF"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0</w:t>
            </w:r>
          </w:p>
        </w:tc>
        <w:tc>
          <w:tcPr>
            <w:tcW w:w="0" w:type="pct"/>
            <w:vAlign w:val="center"/>
          </w:tcPr>
          <w:p w14:paraId="15F11F5C"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41</w:t>
            </w:r>
          </w:p>
        </w:tc>
      </w:tr>
      <w:tr w:rsidR="00B21EAA" w14:paraId="046680D4" w14:textId="77777777" w:rsidTr="00121EBA">
        <w:tc>
          <w:tcPr>
            <w:cnfStyle w:val="001000000000" w:firstRow="0" w:lastRow="0" w:firstColumn="1" w:lastColumn="0" w:oddVBand="0" w:evenVBand="0" w:oddHBand="0" w:evenHBand="0" w:firstRowFirstColumn="0" w:firstRowLastColumn="0" w:lastRowFirstColumn="0" w:lastRowLastColumn="0"/>
            <w:tcW w:w="0" w:type="pct"/>
          </w:tcPr>
          <w:p w14:paraId="40C6D399" w14:textId="77777777" w:rsidR="00B21EAA" w:rsidRDefault="00B21EAA" w:rsidP="00802453">
            <w:pPr>
              <w:pStyle w:val="TableCopy"/>
            </w:pPr>
            <w:r>
              <w:t>2014</w:t>
            </w:r>
          </w:p>
        </w:tc>
        <w:tc>
          <w:tcPr>
            <w:tcW w:w="0" w:type="pct"/>
            <w:vAlign w:val="center"/>
          </w:tcPr>
          <w:p w14:paraId="26B072B2"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4</w:t>
            </w:r>
          </w:p>
        </w:tc>
        <w:tc>
          <w:tcPr>
            <w:tcW w:w="0" w:type="pct"/>
            <w:vAlign w:val="center"/>
          </w:tcPr>
          <w:p w14:paraId="5A2CCF89"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12</w:t>
            </w:r>
          </w:p>
        </w:tc>
        <w:tc>
          <w:tcPr>
            <w:tcW w:w="0" w:type="pct"/>
            <w:vAlign w:val="center"/>
          </w:tcPr>
          <w:p w14:paraId="04228F71"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3</w:t>
            </w:r>
          </w:p>
        </w:tc>
        <w:tc>
          <w:tcPr>
            <w:tcW w:w="0" w:type="pct"/>
            <w:vAlign w:val="center"/>
          </w:tcPr>
          <w:p w14:paraId="3CE59F45"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7</w:t>
            </w:r>
          </w:p>
        </w:tc>
        <w:tc>
          <w:tcPr>
            <w:tcW w:w="0" w:type="pct"/>
            <w:vAlign w:val="center"/>
          </w:tcPr>
          <w:p w14:paraId="501BDCE7"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5</w:t>
            </w:r>
          </w:p>
        </w:tc>
        <w:tc>
          <w:tcPr>
            <w:tcW w:w="0" w:type="pct"/>
            <w:vAlign w:val="center"/>
          </w:tcPr>
          <w:p w14:paraId="57F664A8"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6</w:t>
            </w:r>
          </w:p>
        </w:tc>
        <w:tc>
          <w:tcPr>
            <w:tcW w:w="0" w:type="pct"/>
            <w:vAlign w:val="center"/>
          </w:tcPr>
          <w:p w14:paraId="22805999"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3</w:t>
            </w:r>
          </w:p>
        </w:tc>
        <w:tc>
          <w:tcPr>
            <w:tcW w:w="0" w:type="pct"/>
            <w:vAlign w:val="center"/>
          </w:tcPr>
          <w:p w14:paraId="30FA10E2"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40</w:t>
            </w:r>
          </w:p>
        </w:tc>
      </w:tr>
      <w:tr w:rsidR="00B21EAA" w14:paraId="742A8BD6" w14:textId="77777777" w:rsidTr="00121EBA">
        <w:tc>
          <w:tcPr>
            <w:cnfStyle w:val="001000000000" w:firstRow="0" w:lastRow="0" w:firstColumn="1" w:lastColumn="0" w:oddVBand="0" w:evenVBand="0" w:oddHBand="0" w:evenHBand="0" w:firstRowFirstColumn="0" w:firstRowLastColumn="0" w:lastRowFirstColumn="0" w:lastRowLastColumn="0"/>
            <w:tcW w:w="0" w:type="pct"/>
          </w:tcPr>
          <w:p w14:paraId="6B68E682" w14:textId="77777777" w:rsidR="00B21EAA" w:rsidRDefault="00B21EAA" w:rsidP="00802453">
            <w:pPr>
              <w:pStyle w:val="TableCopy"/>
            </w:pPr>
            <w:r>
              <w:t>2015</w:t>
            </w:r>
          </w:p>
        </w:tc>
        <w:tc>
          <w:tcPr>
            <w:tcW w:w="0" w:type="pct"/>
            <w:vAlign w:val="center"/>
          </w:tcPr>
          <w:p w14:paraId="325FEA7C"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3</w:t>
            </w:r>
          </w:p>
        </w:tc>
        <w:tc>
          <w:tcPr>
            <w:tcW w:w="0" w:type="pct"/>
            <w:vAlign w:val="center"/>
          </w:tcPr>
          <w:p w14:paraId="24B36832"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7</w:t>
            </w:r>
          </w:p>
        </w:tc>
        <w:tc>
          <w:tcPr>
            <w:tcW w:w="0" w:type="pct"/>
            <w:vAlign w:val="center"/>
          </w:tcPr>
          <w:p w14:paraId="11B11524"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6</w:t>
            </w:r>
          </w:p>
        </w:tc>
        <w:tc>
          <w:tcPr>
            <w:tcW w:w="0" w:type="pct"/>
            <w:vAlign w:val="center"/>
          </w:tcPr>
          <w:p w14:paraId="5184CAC9"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16</w:t>
            </w:r>
          </w:p>
        </w:tc>
        <w:tc>
          <w:tcPr>
            <w:tcW w:w="0" w:type="pct"/>
            <w:vAlign w:val="center"/>
          </w:tcPr>
          <w:p w14:paraId="6E647083"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2</w:t>
            </w:r>
          </w:p>
        </w:tc>
        <w:tc>
          <w:tcPr>
            <w:tcW w:w="0" w:type="pct"/>
            <w:vAlign w:val="center"/>
          </w:tcPr>
          <w:p w14:paraId="1E3D3639"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7</w:t>
            </w:r>
          </w:p>
        </w:tc>
        <w:tc>
          <w:tcPr>
            <w:tcW w:w="0" w:type="pct"/>
            <w:vAlign w:val="center"/>
          </w:tcPr>
          <w:p w14:paraId="2D55DA16"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1</w:t>
            </w:r>
          </w:p>
        </w:tc>
        <w:tc>
          <w:tcPr>
            <w:tcW w:w="0" w:type="pct"/>
            <w:vAlign w:val="center"/>
          </w:tcPr>
          <w:p w14:paraId="519C4C5E"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42</w:t>
            </w:r>
          </w:p>
        </w:tc>
      </w:tr>
      <w:tr w:rsidR="00B21EAA" w14:paraId="093EFB1C" w14:textId="77777777" w:rsidTr="00121EBA">
        <w:tc>
          <w:tcPr>
            <w:cnfStyle w:val="001000000000" w:firstRow="0" w:lastRow="0" w:firstColumn="1" w:lastColumn="0" w:oddVBand="0" w:evenVBand="0" w:oddHBand="0" w:evenHBand="0" w:firstRowFirstColumn="0" w:firstRowLastColumn="0" w:lastRowFirstColumn="0" w:lastRowLastColumn="0"/>
            <w:tcW w:w="0" w:type="pct"/>
          </w:tcPr>
          <w:p w14:paraId="1F437AD8" w14:textId="77777777" w:rsidR="00B21EAA" w:rsidRDefault="00B21EAA" w:rsidP="00802453">
            <w:pPr>
              <w:pStyle w:val="TableCopy"/>
            </w:pPr>
            <w:r>
              <w:t>2016</w:t>
            </w:r>
          </w:p>
        </w:tc>
        <w:tc>
          <w:tcPr>
            <w:tcW w:w="0" w:type="pct"/>
            <w:vAlign w:val="center"/>
          </w:tcPr>
          <w:p w14:paraId="7ACC6BBC"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4</w:t>
            </w:r>
          </w:p>
        </w:tc>
        <w:tc>
          <w:tcPr>
            <w:tcW w:w="0" w:type="pct"/>
            <w:vAlign w:val="center"/>
          </w:tcPr>
          <w:p w14:paraId="0F4DFF24"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5</w:t>
            </w:r>
          </w:p>
        </w:tc>
        <w:tc>
          <w:tcPr>
            <w:tcW w:w="0" w:type="pct"/>
            <w:vAlign w:val="center"/>
          </w:tcPr>
          <w:p w14:paraId="3E41B4A9"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9</w:t>
            </w:r>
          </w:p>
        </w:tc>
        <w:tc>
          <w:tcPr>
            <w:tcW w:w="0" w:type="pct"/>
            <w:vAlign w:val="center"/>
          </w:tcPr>
          <w:p w14:paraId="79BC9427"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12</w:t>
            </w:r>
          </w:p>
        </w:tc>
        <w:tc>
          <w:tcPr>
            <w:tcW w:w="0" w:type="pct"/>
            <w:vAlign w:val="center"/>
          </w:tcPr>
          <w:p w14:paraId="528C976D"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4</w:t>
            </w:r>
          </w:p>
        </w:tc>
        <w:tc>
          <w:tcPr>
            <w:tcW w:w="0" w:type="pct"/>
            <w:vAlign w:val="center"/>
          </w:tcPr>
          <w:p w14:paraId="769A02CA"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3</w:t>
            </w:r>
          </w:p>
        </w:tc>
        <w:tc>
          <w:tcPr>
            <w:tcW w:w="0" w:type="pct"/>
            <w:vAlign w:val="center"/>
          </w:tcPr>
          <w:p w14:paraId="0D6A098E"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4</w:t>
            </w:r>
          </w:p>
        </w:tc>
        <w:tc>
          <w:tcPr>
            <w:tcW w:w="0" w:type="pct"/>
            <w:vAlign w:val="center"/>
          </w:tcPr>
          <w:p w14:paraId="37FD3DF7"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41</w:t>
            </w:r>
          </w:p>
        </w:tc>
      </w:tr>
      <w:tr w:rsidR="00B21EAA" w14:paraId="501A7123" w14:textId="77777777" w:rsidTr="00121EBA">
        <w:tc>
          <w:tcPr>
            <w:cnfStyle w:val="001000000000" w:firstRow="0" w:lastRow="0" w:firstColumn="1" w:lastColumn="0" w:oddVBand="0" w:evenVBand="0" w:oddHBand="0" w:evenHBand="0" w:firstRowFirstColumn="0" w:firstRowLastColumn="0" w:lastRowFirstColumn="0" w:lastRowLastColumn="0"/>
            <w:tcW w:w="0" w:type="pct"/>
          </w:tcPr>
          <w:p w14:paraId="5034147F" w14:textId="77777777" w:rsidR="00B21EAA" w:rsidRDefault="00B21EAA" w:rsidP="00802453">
            <w:pPr>
              <w:pStyle w:val="TableCopy"/>
            </w:pPr>
            <w:r>
              <w:t>Total</w:t>
            </w:r>
          </w:p>
        </w:tc>
        <w:tc>
          <w:tcPr>
            <w:tcW w:w="0" w:type="pct"/>
            <w:vAlign w:val="center"/>
          </w:tcPr>
          <w:p w14:paraId="7903363B" w14:textId="77777777" w:rsidR="00B21EAA" w:rsidRPr="00CB7687"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rPr>
                <w:b/>
              </w:rPr>
            </w:pPr>
            <w:r w:rsidRPr="00CB7687">
              <w:rPr>
                <w:b/>
              </w:rPr>
              <w:t>23</w:t>
            </w:r>
          </w:p>
        </w:tc>
        <w:tc>
          <w:tcPr>
            <w:tcW w:w="0" w:type="pct"/>
            <w:vAlign w:val="center"/>
          </w:tcPr>
          <w:p w14:paraId="0B447D6F" w14:textId="77777777" w:rsidR="00B21EAA" w:rsidRPr="00CB7687"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rPr>
                <w:b/>
              </w:rPr>
            </w:pPr>
            <w:r w:rsidRPr="00CB7687">
              <w:rPr>
                <w:b/>
              </w:rPr>
              <w:t>59</w:t>
            </w:r>
          </w:p>
        </w:tc>
        <w:tc>
          <w:tcPr>
            <w:tcW w:w="0" w:type="pct"/>
            <w:vAlign w:val="center"/>
          </w:tcPr>
          <w:p w14:paraId="5D8CB283" w14:textId="77777777" w:rsidR="00B21EAA" w:rsidRPr="00CB7687"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rPr>
                <w:b/>
              </w:rPr>
            </w:pPr>
            <w:r w:rsidRPr="00CB7687">
              <w:rPr>
                <w:b/>
              </w:rPr>
              <w:t>30</w:t>
            </w:r>
          </w:p>
        </w:tc>
        <w:tc>
          <w:tcPr>
            <w:tcW w:w="0" w:type="pct"/>
            <w:vAlign w:val="center"/>
          </w:tcPr>
          <w:p w14:paraId="79A9255A" w14:textId="77777777" w:rsidR="00B21EAA" w:rsidRPr="00CB7687"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rPr>
                <w:b/>
              </w:rPr>
            </w:pPr>
            <w:r w:rsidRPr="00CB7687">
              <w:rPr>
                <w:b/>
              </w:rPr>
              <w:t>69</w:t>
            </w:r>
          </w:p>
        </w:tc>
        <w:tc>
          <w:tcPr>
            <w:tcW w:w="0" w:type="pct"/>
            <w:vAlign w:val="center"/>
          </w:tcPr>
          <w:p w14:paraId="690ADEC3" w14:textId="77777777" w:rsidR="00B21EAA" w:rsidRPr="00CB7687"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rPr>
                <w:b/>
              </w:rPr>
            </w:pPr>
            <w:r w:rsidRPr="00CB7687">
              <w:rPr>
                <w:b/>
              </w:rPr>
              <w:t>25</w:t>
            </w:r>
          </w:p>
        </w:tc>
        <w:tc>
          <w:tcPr>
            <w:tcW w:w="0" w:type="pct"/>
            <w:vAlign w:val="center"/>
          </w:tcPr>
          <w:p w14:paraId="6110BC6C" w14:textId="77777777" w:rsidR="00B21EAA" w:rsidRPr="00CB7687"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rPr>
                <w:b/>
              </w:rPr>
            </w:pPr>
            <w:r w:rsidRPr="00CB7687">
              <w:rPr>
                <w:b/>
              </w:rPr>
              <w:t>28</w:t>
            </w:r>
          </w:p>
        </w:tc>
        <w:tc>
          <w:tcPr>
            <w:tcW w:w="0" w:type="pct"/>
            <w:vAlign w:val="center"/>
          </w:tcPr>
          <w:p w14:paraId="5A19766A" w14:textId="77777777" w:rsidR="00B21EAA" w:rsidRPr="00CB7687"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rPr>
                <w:b/>
              </w:rPr>
            </w:pPr>
            <w:r w:rsidRPr="00CB7687">
              <w:rPr>
                <w:b/>
              </w:rPr>
              <w:t>14</w:t>
            </w:r>
          </w:p>
        </w:tc>
        <w:tc>
          <w:tcPr>
            <w:tcW w:w="0" w:type="pct"/>
            <w:vAlign w:val="center"/>
          </w:tcPr>
          <w:p w14:paraId="1DE0B207" w14:textId="77777777" w:rsidR="00B21EAA" w:rsidRPr="00CB7687"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rPr>
                <w:b/>
              </w:rPr>
            </w:pPr>
            <w:r w:rsidRPr="00CB7687">
              <w:rPr>
                <w:b/>
              </w:rPr>
              <w:t>248</w:t>
            </w:r>
          </w:p>
        </w:tc>
      </w:tr>
      <w:tr w:rsidR="00B21EAA" w14:paraId="5C218D78" w14:textId="77777777" w:rsidTr="00121EBA">
        <w:tc>
          <w:tcPr>
            <w:cnfStyle w:val="001000000000" w:firstRow="0" w:lastRow="0" w:firstColumn="1" w:lastColumn="0" w:oddVBand="0" w:evenVBand="0" w:oddHBand="0" w:evenHBand="0" w:firstRowFirstColumn="0" w:firstRowLastColumn="0" w:lastRowFirstColumn="0" w:lastRowLastColumn="0"/>
            <w:tcW w:w="0" w:type="pct"/>
          </w:tcPr>
          <w:p w14:paraId="21732734" w14:textId="77777777" w:rsidR="00B21EAA" w:rsidRDefault="00B21EAA" w:rsidP="00802453">
            <w:pPr>
              <w:pStyle w:val="TableCopy"/>
              <w:rPr>
                <w:color w:val="auto"/>
                <w:spacing w:val="0"/>
              </w:rPr>
            </w:pPr>
            <w:r>
              <w:t>% of Total</w:t>
            </w:r>
          </w:p>
        </w:tc>
        <w:tc>
          <w:tcPr>
            <w:tcW w:w="0" w:type="pct"/>
            <w:vAlign w:val="center"/>
          </w:tcPr>
          <w:p w14:paraId="59B3C769" w14:textId="77777777" w:rsidR="00B21EAA" w:rsidRPr="00CB7687"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rPr>
                <w:b/>
              </w:rPr>
            </w:pPr>
            <w:r w:rsidRPr="00CB7687">
              <w:rPr>
                <w:b/>
              </w:rPr>
              <w:t>9%</w:t>
            </w:r>
          </w:p>
        </w:tc>
        <w:tc>
          <w:tcPr>
            <w:tcW w:w="0" w:type="pct"/>
            <w:vAlign w:val="center"/>
          </w:tcPr>
          <w:p w14:paraId="60F5F8F5" w14:textId="77777777" w:rsidR="00B21EAA" w:rsidRPr="00CB7687"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rPr>
                <w:b/>
              </w:rPr>
            </w:pPr>
            <w:r w:rsidRPr="00CB7687">
              <w:rPr>
                <w:b/>
              </w:rPr>
              <w:t>24%</w:t>
            </w:r>
          </w:p>
        </w:tc>
        <w:tc>
          <w:tcPr>
            <w:tcW w:w="0" w:type="pct"/>
            <w:vAlign w:val="center"/>
          </w:tcPr>
          <w:p w14:paraId="575CCBD5" w14:textId="77777777" w:rsidR="00B21EAA" w:rsidRPr="00CB7687"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rPr>
                <w:b/>
              </w:rPr>
            </w:pPr>
            <w:r w:rsidRPr="00CB7687">
              <w:rPr>
                <w:b/>
              </w:rPr>
              <w:t>12%</w:t>
            </w:r>
          </w:p>
        </w:tc>
        <w:tc>
          <w:tcPr>
            <w:tcW w:w="0" w:type="pct"/>
            <w:vAlign w:val="center"/>
          </w:tcPr>
          <w:p w14:paraId="1E049BBF" w14:textId="77777777" w:rsidR="00B21EAA" w:rsidRPr="00CB7687"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rPr>
                <w:b/>
              </w:rPr>
            </w:pPr>
            <w:r w:rsidRPr="00CB7687">
              <w:rPr>
                <w:b/>
              </w:rPr>
              <w:t>28%</w:t>
            </w:r>
          </w:p>
        </w:tc>
        <w:tc>
          <w:tcPr>
            <w:tcW w:w="0" w:type="pct"/>
            <w:vAlign w:val="center"/>
          </w:tcPr>
          <w:p w14:paraId="31D7C169" w14:textId="77777777" w:rsidR="00B21EAA" w:rsidRPr="00CB7687"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rPr>
                <w:b/>
              </w:rPr>
            </w:pPr>
            <w:r w:rsidRPr="00CB7687">
              <w:rPr>
                <w:b/>
              </w:rPr>
              <w:t>10%</w:t>
            </w:r>
          </w:p>
        </w:tc>
        <w:tc>
          <w:tcPr>
            <w:tcW w:w="0" w:type="pct"/>
            <w:vAlign w:val="center"/>
          </w:tcPr>
          <w:p w14:paraId="3D239683" w14:textId="77777777" w:rsidR="00B21EAA" w:rsidRPr="00CB7687"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rPr>
                <w:b/>
              </w:rPr>
            </w:pPr>
            <w:r w:rsidRPr="00CB7687">
              <w:rPr>
                <w:b/>
              </w:rPr>
              <w:t>11%</w:t>
            </w:r>
          </w:p>
        </w:tc>
        <w:tc>
          <w:tcPr>
            <w:tcW w:w="0" w:type="pct"/>
            <w:vAlign w:val="center"/>
          </w:tcPr>
          <w:p w14:paraId="1951F05D" w14:textId="77777777" w:rsidR="00B21EAA" w:rsidRPr="00CB7687"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rPr>
                <w:b/>
              </w:rPr>
            </w:pPr>
            <w:r w:rsidRPr="00CB7687">
              <w:rPr>
                <w:b/>
              </w:rPr>
              <w:t>6%</w:t>
            </w:r>
          </w:p>
        </w:tc>
        <w:tc>
          <w:tcPr>
            <w:tcW w:w="0" w:type="pct"/>
            <w:vAlign w:val="center"/>
          </w:tcPr>
          <w:p w14:paraId="777EF247" w14:textId="77777777" w:rsidR="00B21EAA" w:rsidRPr="00CB7687"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rPr>
                <w:b/>
              </w:rPr>
            </w:pPr>
            <w:r w:rsidRPr="00CB7687">
              <w:rPr>
                <w:b/>
              </w:rPr>
              <w:t>100%</w:t>
            </w:r>
          </w:p>
        </w:tc>
      </w:tr>
    </w:tbl>
    <w:p w14:paraId="0E3D2238" w14:textId="77777777" w:rsidR="00255E53" w:rsidRDefault="00255E53" w:rsidP="00255E53">
      <w:pPr>
        <w:pStyle w:val="TableNotes"/>
      </w:pPr>
      <w:r>
        <w:t xml:space="preserve">* Program data from The Guild included </w:t>
      </w:r>
      <w:proofErr w:type="spellStart"/>
      <w:r>
        <w:t>PhARIA</w:t>
      </w:r>
      <w:proofErr w:type="spellEnd"/>
      <w:r>
        <w:t xml:space="preserve"> 0 data. However, </w:t>
      </w:r>
      <w:proofErr w:type="spellStart"/>
      <w:r>
        <w:t>PhARIA</w:t>
      </w:r>
      <w:proofErr w:type="spellEnd"/>
      <w:r>
        <w:t xml:space="preserve"> 0 is not a </w:t>
      </w:r>
      <w:proofErr w:type="spellStart"/>
      <w:r>
        <w:t>PhARIA</w:t>
      </w:r>
      <w:proofErr w:type="spellEnd"/>
      <w:r>
        <w:t xml:space="preserve"> category and is considered to be included in error.</w:t>
      </w:r>
    </w:p>
    <w:p w14:paraId="5A5667DA" w14:textId="2FEC73D0" w:rsidR="00B21EAA" w:rsidRDefault="00B21EAA" w:rsidP="00B21EAA">
      <w:pPr>
        <w:pStyle w:val="BodyCopy"/>
      </w:pPr>
      <w:r>
        <w:t>Survey data from</w:t>
      </w:r>
      <w:r w:rsidR="004F74C7">
        <w:t xml:space="preserve"> scholarship recipients indicated 77% (n=10) of respondents intended to practise in a rural are</w:t>
      </w:r>
      <w:r w:rsidR="00014629">
        <w:t>a</w:t>
      </w:r>
      <w:r w:rsidR="004F74C7">
        <w:t xml:space="preserve"> prior to studying pharmacy. However, only</w:t>
      </w:r>
      <w:r>
        <w:t xml:space="preserve"> 52% </w:t>
      </w:r>
      <w:r w:rsidR="004F74C7">
        <w:t xml:space="preserve">(n=13) </w:t>
      </w:r>
      <w:r>
        <w:t xml:space="preserve">of recipients went on to work in major cities while 48% </w:t>
      </w:r>
      <w:r w:rsidR="004F74C7">
        <w:t xml:space="preserve">(n=12) </w:t>
      </w:r>
      <w:r>
        <w:t xml:space="preserve">returned to a </w:t>
      </w:r>
      <w:proofErr w:type="spellStart"/>
      <w:r>
        <w:t>PhARIA</w:t>
      </w:r>
      <w:proofErr w:type="spellEnd"/>
      <w:r>
        <w:t xml:space="preserve"> 2</w:t>
      </w:r>
      <w:r w:rsidR="00014629">
        <w:t>–</w:t>
      </w:r>
      <w:r>
        <w:t xml:space="preserve">6 area after study. Recipients cited greater job opportunities and lifestyle factors contributed to their decision to practise in a major city. </w:t>
      </w:r>
    </w:p>
    <w:p w14:paraId="3FDB0829" w14:textId="1D23BC12" w:rsidR="00B21EAA" w:rsidRPr="00306668" w:rsidRDefault="00B21EAA" w:rsidP="003625D2">
      <w:pPr>
        <w:pStyle w:val="Effectiveness"/>
      </w:pPr>
      <w:r w:rsidRPr="003625D2">
        <w:t xml:space="preserve">The Scholarship Scheme as it is currently administered is effective in supporting students from </w:t>
      </w:r>
      <w:proofErr w:type="spellStart"/>
      <w:r w:rsidRPr="003625D2">
        <w:t>PhARIA</w:t>
      </w:r>
      <w:proofErr w:type="spellEnd"/>
      <w:r w:rsidRPr="003625D2">
        <w:t xml:space="preserve"> 2</w:t>
      </w:r>
      <w:r w:rsidR="00014629" w:rsidRPr="003625D2">
        <w:t>–</w:t>
      </w:r>
      <w:r w:rsidRPr="003625D2">
        <w:t>6 areas to attend university. The financ</w:t>
      </w:r>
      <w:r w:rsidR="00A437CE" w:rsidRPr="00306668">
        <w:t>ial support provided under the S</w:t>
      </w:r>
      <w:r w:rsidRPr="00306668">
        <w:t xml:space="preserve">cheme is a deciding factor for students who could not otherwise afford to attend university. </w:t>
      </w:r>
    </w:p>
    <w:p w14:paraId="50D4F14C" w14:textId="77777777" w:rsidR="00B21EAA" w:rsidRPr="00306668" w:rsidRDefault="00B21EAA" w:rsidP="003625D2">
      <w:pPr>
        <w:pStyle w:val="Effectiveness"/>
      </w:pPr>
      <w:r w:rsidRPr="00306668">
        <w:t xml:space="preserve">However, the </w:t>
      </w:r>
      <w:proofErr w:type="spellStart"/>
      <w:r w:rsidRPr="00306668">
        <w:t>PhARIA</w:t>
      </w:r>
      <w:proofErr w:type="spellEnd"/>
      <w:r w:rsidRPr="00306668">
        <w:t xml:space="preserve"> system may exclude students from regional areas classified as </w:t>
      </w:r>
      <w:proofErr w:type="spellStart"/>
      <w:r w:rsidRPr="00306668">
        <w:t>PhARIA</w:t>
      </w:r>
      <w:proofErr w:type="spellEnd"/>
      <w:r w:rsidRPr="00306668">
        <w:t xml:space="preserve"> 1. </w:t>
      </w:r>
    </w:p>
    <w:p w14:paraId="1439D9BD" w14:textId="77777777" w:rsidR="00B21EAA" w:rsidRPr="00307FF0" w:rsidRDefault="004F74C7" w:rsidP="00306668">
      <w:pPr>
        <w:pStyle w:val="Effectiveness"/>
      </w:pPr>
      <w:r w:rsidRPr="00306668">
        <w:t>Despite scholarship recipients having previous intentions to practise in a rural area prior to studying pharmacy</w:t>
      </w:r>
      <w:r w:rsidR="00B21EAA" w:rsidRPr="00306668">
        <w:t xml:space="preserve">, only around half </w:t>
      </w:r>
      <w:r w:rsidR="00B21EAA" w:rsidRPr="00306668">
        <w:t>of scholarship recipients go on to practise i</w:t>
      </w:r>
      <w:r w:rsidR="00B21EAA" w:rsidRPr="00E50284">
        <w:t>n rural and remote areas</w:t>
      </w:r>
      <w:r w:rsidRPr="00E50284">
        <w:t xml:space="preserve"> after </w:t>
      </w:r>
      <w:r w:rsidR="001E5B98" w:rsidRPr="00E50284">
        <w:t>becoming qualified</w:t>
      </w:r>
      <w:r w:rsidR="00B21EAA" w:rsidRPr="00457C0C">
        <w:t xml:space="preserve">. </w:t>
      </w:r>
    </w:p>
    <w:p w14:paraId="0A62D512" w14:textId="77777777" w:rsidR="00B21EAA" w:rsidRDefault="00B21EAA" w:rsidP="00B21EAA">
      <w:pPr>
        <w:pStyle w:val="Heading4"/>
      </w:pPr>
      <w:r w:rsidRPr="00884DCB">
        <w:t>Efficiency</w:t>
      </w:r>
    </w:p>
    <w:p w14:paraId="0C94C9DE" w14:textId="40BAE895" w:rsidR="00B2593B" w:rsidRDefault="00B2593B" w:rsidP="0068266D">
      <w:pPr>
        <w:pStyle w:val="BodyCopy"/>
        <w:rPr>
          <w:rFonts w:ascii="Garamond" w:eastAsia="Times New Roman" w:hAnsi="Garamond"/>
          <w:color w:val="000000"/>
          <w:spacing w:val="0"/>
          <w:szCs w:val="22"/>
          <w:lang w:eastAsia="en-AU"/>
        </w:rPr>
      </w:pPr>
      <w:r w:rsidRPr="00B2593B">
        <w:t>Ninety-nine scholarships were funded during the 2013</w:t>
      </w:r>
      <w:r w:rsidR="00014629">
        <w:t>–</w:t>
      </w:r>
      <w:r w:rsidRPr="00B2593B">
        <w:t>14 financial year and continued into 2014</w:t>
      </w:r>
      <w:r w:rsidR="00014629">
        <w:t>–</w:t>
      </w:r>
      <w:r w:rsidRPr="00B2593B">
        <w:t xml:space="preserve">15. The average total program value across the two financial years was </w:t>
      </w:r>
      <w:r w:rsidR="0068266D">
        <w:rPr>
          <w:rFonts w:ascii="Times New Roman" w:eastAsia="Times New Roman" w:hAnsi="Times New Roman"/>
          <w:color w:val="000000"/>
          <w:spacing w:val="0"/>
          <w:szCs w:val="22"/>
          <w:lang w:eastAsia="en-AU"/>
        </w:rPr>
        <w:t>$</w:t>
      </w:r>
      <w:r w:rsidRPr="00B2593B">
        <w:rPr>
          <w:rFonts w:ascii="Garamond" w:eastAsia="Times New Roman" w:hAnsi="Garamond"/>
          <w:color w:val="000000"/>
          <w:spacing w:val="0"/>
          <w:szCs w:val="22"/>
          <w:lang w:eastAsia="en-AU"/>
        </w:rPr>
        <w:t xml:space="preserve">1,048,537, which includes an estimated administration overhead allocation of </w:t>
      </w:r>
      <w:r w:rsidR="0068266D">
        <w:rPr>
          <w:rFonts w:ascii="Times New Roman" w:eastAsia="Times New Roman" w:hAnsi="Times New Roman"/>
          <w:color w:val="000000"/>
          <w:spacing w:val="0"/>
          <w:szCs w:val="22"/>
          <w:lang w:eastAsia="en-AU"/>
        </w:rPr>
        <w:t>$</w:t>
      </w:r>
      <w:r w:rsidRPr="00B2593B">
        <w:rPr>
          <w:rFonts w:ascii="Garamond" w:eastAsia="Times New Roman" w:hAnsi="Garamond"/>
          <w:color w:val="000000"/>
          <w:spacing w:val="0"/>
          <w:szCs w:val="22"/>
          <w:lang w:eastAsia="en-AU"/>
        </w:rPr>
        <w:t>61,041 comprising 6% of total program expenditure.</w:t>
      </w:r>
      <w:r>
        <w:rPr>
          <w:rFonts w:ascii="Garamond" w:eastAsia="Times New Roman" w:hAnsi="Garamond"/>
          <w:color w:val="000000"/>
          <w:spacing w:val="0"/>
          <w:szCs w:val="22"/>
          <w:lang w:eastAsia="en-AU"/>
        </w:rPr>
        <w:t xml:space="preserve"> </w:t>
      </w:r>
    </w:p>
    <w:p w14:paraId="4310F136" w14:textId="1DFB4807" w:rsidR="0068266D" w:rsidRPr="0068266D" w:rsidRDefault="0068266D" w:rsidP="0068266D">
      <w:pPr>
        <w:pStyle w:val="BodyCopy"/>
        <w:rPr>
          <w:rFonts w:ascii="Garamond" w:eastAsia="Times New Roman" w:hAnsi="Garamond"/>
          <w:color w:val="000000"/>
          <w:spacing w:val="0"/>
          <w:szCs w:val="22"/>
          <w:lang w:eastAsia="en-AU"/>
        </w:rPr>
      </w:pPr>
      <w:r>
        <w:rPr>
          <w:lang w:eastAsia="en-AU"/>
        </w:rPr>
        <w:t>The individual unit cost, that is the cost per scholarship recipient</w:t>
      </w:r>
      <w:r w:rsidR="00014629">
        <w:rPr>
          <w:lang w:eastAsia="en-AU"/>
        </w:rPr>
        <w:t>,</w:t>
      </w:r>
      <w:r>
        <w:rPr>
          <w:lang w:eastAsia="en-AU"/>
        </w:rPr>
        <w:t xml:space="preserve"> is estimated at </w:t>
      </w:r>
      <w:r>
        <w:rPr>
          <w:rFonts w:ascii="Times New Roman" w:eastAsia="Times New Roman" w:hAnsi="Times New Roman"/>
          <w:color w:val="000000"/>
          <w:spacing w:val="0"/>
          <w:szCs w:val="22"/>
          <w:lang w:eastAsia="en-AU"/>
        </w:rPr>
        <w:t>$</w:t>
      </w:r>
      <w:r>
        <w:rPr>
          <w:rFonts w:ascii="Garamond" w:eastAsia="Times New Roman" w:hAnsi="Garamond"/>
          <w:color w:val="000000"/>
          <w:spacing w:val="0"/>
          <w:szCs w:val="22"/>
          <w:lang w:eastAsia="en-AU"/>
        </w:rPr>
        <w:t>10,618 per annum</w:t>
      </w:r>
      <w:r w:rsidR="00014629">
        <w:rPr>
          <w:rFonts w:ascii="Garamond" w:eastAsia="Times New Roman" w:hAnsi="Garamond"/>
          <w:color w:val="000000"/>
          <w:spacing w:val="0"/>
          <w:szCs w:val="22"/>
          <w:lang w:eastAsia="en-AU"/>
        </w:rPr>
        <w:t>,</w:t>
      </w:r>
      <w:r>
        <w:rPr>
          <w:rFonts w:ascii="Garamond" w:eastAsia="Times New Roman" w:hAnsi="Garamond"/>
          <w:color w:val="000000"/>
          <w:spacing w:val="0"/>
          <w:szCs w:val="22"/>
          <w:lang w:eastAsia="en-AU"/>
        </w:rPr>
        <w:t xml:space="preserve"> which includes an estimated administration overhead allocation of </w:t>
      </w:r>
      <w:r>
        <w:rPr>
          <w:rFonts w:ascii="Times New Roman" w:eastAsia="Times New Roman" w:hAnsi="Times New Roman"/>
          <w:color w:val="000000"/>
          <w:spacing w:val="0"/>
          <w:szCs w:val="22"/>
          <w:lang w:eastAsia="en-AU"/>
        </w:rPr>
        <w:t>$</w:t>
      </w:r>
      <w:r>
        <w:rPr>
          <w:rFonts w:ascii="Garamond" w:eastAsia="Times New Roman" w:hAnsi="Garamond"/>
          <w:color w:val="000000"/>
          <w:spacing w:val="0"/>
          <w:szCs w:val="22"/>
          <w:lang w:eastAsia="en-AU"/>
        </w:rPr>
        <w:t xml:space="preserve">618. </w:t>
      </w:r>
    </w:p>
    <w:p w14:paraId="7C027ADB" w14:textId="4C06EE50" w:rsidR="00B2593B" w:rsidRDefault="0068266D" w:rsidP="00AB43B9">
      <w:pPr>
        <w:pStyle w:val="BodyCopy"/>
        <w:rPr>
          <w:lang w:eastAsia="en-AU"/>
        </w:rPr>
      </w:pPr>
      <w:r>
        <w:rPr>
          <w:lang w:eastAsia="en-AU"/>
        </w:rPr>
        <w:t>Administration overhead costs were estimated based on program volume in the context of all programs. A</w:t>
      </w:r>
      <w:r w:rsidR="001C222B">
        <w:rPr>
          <w:lang w:eastAsia="en-AU"/>
        </w:rPr>
        <w:t>n a</w:t>
      </w:r>
      <w:r>
        <w:rPr>
          <w:lang w:eastAsia="en-AU"/>
        </w:rPr>
        <w:t xml:space="preserve">dministration overhead cost proportion of 6% is within </w:t>
      </w:r>
      <w:r w:rsidR="001C222B">
        <w:rPr>
          <w:lang w:eastAsia="en-AU"/>
        </w:rPr>
        <w:t>the acceptable range. However, this may underestimate actual program administration costs</w:t>
      </w:r>
      <w:r w:rsidR="00014629">
        <w:rPr>
          <w:lang w:eastAsia="en-AU"/>
        </w:rPr>
        <w:t>,</w:t>
      </w:r>
      <w:r w:rsidR="001C222B">
        <w:rPr>
          <w:lang w:eastAsia="en-AU"/>
        </w:rPr>
        <w:t xml:space="preserve"> as it is assumed considerable effort is associated with assessing scholarship recipients’ eligibility and reporting each year. </w:t>
      </w:r>
    </w:p>
    <w:p w14:paraId="06302663" w14:textId="77777777" w:rsidR="00F6658D" w:rsidRPr="00B2593B" w:rsidRDefault="00F6658D" w:rsidP="00453658">
      <w:pPr>
        <w:pStyle w:val="Efficiency"/>
      </w:pPr>
      <w:r>
        <w:t xml:space="preserve">A single unit cost per scholarship recipient was estimated at </w:t>
      </w:r>
      <w:r>
        <w:rPr>
          <w:rFonts w:ascii="Times New Roman" w:hAnsi="Times New Roman"/>
        </w:rPr>
        <w:t>$</w:t>
      </w:r>
      <w:r>
        <w:t>10,618 comprising 6% administration overhead costs. This was considered within the acceptable range for administration overheads. However, further investigation is required to assess actual time spent administering the program.</w:t>
      </w:r>
    </w:p>
    <w:p w14:paraId="003D5D24" w14:textId="77777777" w:rsidR="00B21EAA" w:rsidRPr="00884DCB" w:rsidRDefault="00B21EAA" w:rsidP="00B21EAA">
      <w:pPr>
        <w:pStyle w:val="Heading4"/>
      </w:pPr>
      <w:r>
        <w:t>Options for improving program operation</w:t>
      </w:r>
    </w:p>
    <w:p w14:paraId="4D2AD1E5" w14:textId="77777777" w:rsidR="00B21EAA" w:rsidRDefault="00B21EAA" w:rsidP="00B21EAA">
      <w:pPr>
        <w:pStyle w:val="BodyCopy"/>
      </w:pPr>
      <w:r>
        <w:t>While scholarships were highly valued by recipients and somewhat supported by the literature, there were a number of limitations with the program as it is currently administered. These include:</w:t>
      </w:r>
    </w:p>
    <w:p w14:paraId="7EC31149" w14:textId="77777777" w:rsidR="00B21EAA" w:rsidRDefault="00B21EAA" w:rsidP="00B21EAA">
      <w:pPr>
        <w:pStyle w:val="Bullets1"/>
      </w:pPr>
      <w:r>
        <w:t>need for greater clarity around the requirements of scholarship recipients to remain eligible for the scholarship (e.g. reporting, involvement with health clubs)</w:t>
      </w:r>
    </w:p>
    <w:p w14:paraId="1C7B169B" w14:textId="2B531F33" w:rsidR="00B21EAA" w:rsidRDefault="00306668" w:rsidP="00B21EAA">
      <w:pPr>
        <w:pStyle w:val="Bullets1"/>
      </w:pPr>
      <w:r>
        <w:t xml:space="preserve">reports required to be written by scholars were considered unnecessarily </w:t>
      </w:r>
      <w:r w:rsidR="00B21EAA">
        <w:t>time consum</w:t>
      </w:r>
      <w:r>
        <w:t>ing</w:t>
      </w:r>
    </w:p>
    <w:p w14:paraId="391F002A" w14:textId="77777777" w:rsidR="00B21EAA" w:rsidRDefault="00B21EAA" w:rsidP="00B21EAA">
      <w:pPr>
        <w:pStyle w:val="Bullets1"/>
      </w:pPr>
      <w:r>
        <w:lastRenderedPageBreak/>
        <w:t>patchy access to rural health clubs, and</w:t>
      </w:r>
    </w:p>
    <w:p w14:paraId="75562C83" w14:textId="77777777" w:rsidR="00F6658D" w:rsidRDefault="00B21EAA" w:rsidP="00B21EAA">
      <w:pPr>
        <w:pStyle w:val="Bullets1"/>
      </w:pPr>
      <w:proofErr w:type="spellStart"/>
      <w:r>
        <w:t>PhARIA</w:t>
      </w:r>
      <w:proofErr w:type="spellEnd"/>
      <w:r>
        <w:t xml:space="preserve"> rules excluding students from regional </w:t>
      </w:r>
      <w:proofErr w:type="spellStart"/>
      <w:r>
        <w:t>PhARIA</w:t>
      </w:r>
      <w:proofErr w:type="spellEnd"/>
      <w:r>
        <w:t xml:space="preserve"> 1 locations.</w:t>
      </w:r>
    </w:p>
    <w:p w14:paraId="05F694F4" w14:textId="2C91F35C" w:rsidR="00B21EAA" w:rsidRDefault="00B21EAA" w:rsidP="00B21EAA">
      <w:pPr>
        <w:pStyle w:val="BodyCopy"/>
      </w:pPr>
      <w:r>
        <w:t xml:space="preserve">Two peak body stakeholders, including </w:t>
      </w:r>
      <w:r w:rsidR="007F4ED2">
        <w:t xml:space="preserve">the Australian Rural Health Education </w:t>
      </w:r>
      <w:r w:rsidR="00C21B40">
        <w:t>Network</w:t>
      </w:r>
      <w:r w:rsidR="007F4ED2">
        <w:t xml:space="preserve"> (</w:t>
      </w:r>
      <w:r>
        <w:t>ARHEN</w:t>
      </w:r>
      <w:r w:rsidR="007F4ED2">
        <w:t>)</w:t>
      </w:r>
      <w:r>
        <w:t xml:space="preserve"> stated embedding a</w:t>
      </w:r>
      <w:r w:rsidR="00837EEC">
        <w:t>n</w:t>
      </w:r>
      <w:r>
        <w:t xml:space="preserve"> RSO in the Scheme would provide better return for investment by increasing the likelihood of students taking up rural </w:t>
      </w:r>
      <w:r w:rsidR="00837EEC">
        <w:t>practice</w:t>
      </w:r>
      <w:r>
        <w:t xml:space="preserve">. Embedding an RSO where a student would be guaranteed a job in a rural area upon graduating as a pharmacist was also suggested by survey respondents. However, the effectiveness of RSOs in retaining rural workforce is not supported by the literature. </w:t>
      </w:r>
    </w:p>
    <w:p w14:paraId="5FBD15C0" w14:textId="15371938" w:rsidR="00B21EAA" w:rsidRDefault="00B21EAA" w:rsidP="00B21EAA">
      <w:pPr>
        <w:pStyle w:val="BodyCopy"/>
      </w:pPr>
      <w:r>
        <w:t xml:space="preserve">HMA considers linking the Scholarship Scheme to a rural internship and RSO period (supported by the Intern Incentive Allowance for Rural Pharmacies and Extension Program) is a practical way to increase scholars’ exposure to rural </w:t>
      </w:r>
      <w:r w:rsidR="00837EEC">
        <w:t xml:space="preserve">practice </w:t>
      </w:r>
      <w:r>
        <w:t xml:space="preserve">and may increase recruitment of rural pharmacists. </w:t>
      </w:r>
    </w:p>
    <w:p w14:paraId="73F86108" w14:textId="1AC486E1" w:rsidR="00B21EAA" w:rsidRDefault="00B21EAA" w:rsidP="00B21EAA">
      <w:pPr>
        <w:pStyle w:val="BodyCopy"/>
      </w:pPr>
      <w:r>
        <w:t xml:space="preserve">Peak body stakeholders noted the impracticality of using the </w:t>
      </w:r>
      <w:proofErr w:type="spellStart"/>
      <w:r>
        <w:t>PhARIA</w:t>
      </w:r>
      <w:proofErr w:type="spellEnd"/>
      <w:r>
        <w:t xml:space="preserve"> system to define student eligibility</w:t>
      </w:r>
      <w:r w:rsidR="00837EEC">
        <w:t>,</w:t>
      </w:r>
      <w:r>
        <w:t xml:space="preserve"> as it excludes students from regional </w:t>
      </w:r>
      <w:proofErr w:type="spellStart"/>
      <w:r>
        <w:t>PhARIA</w:t>
      </w:r>
      <w:proofErr w:type="spellEnd"/>
      <w:r>
        <w:t xml:space="preserve"> 1 areas and assumes scholars will return to their home town once qualified. Other scholarship schemes such as the NAHSSS and RAMUS use the Australian Standard Geographic Classification – Remoteness Area (ASGC-RA)</w:t>
      </w:r>
      <w:r w:rsidR="00837EEC">
        <w:t>,</w:t>
      </w:r>
      <w:r>
        <w:t xml:space="preserve"> which identifies rural areas based on distance from major cities. Under the ASGC-RA, </w:t>
      </w:r>
      <w:proofErr w:type="spellStart"/>
      <w:r>
        <w:t>PhARIA</w:t>
      </w:r>
      <w:proofErr w:type="spellEnd"/>
      <w:r>
        <w:t xml:space="preserve"> 1 areas such as Mount Gambier or Tamworth are defined as Inner Regional. HMA considers using a measure of rurality that is based on geography and population such as the ASGC-RA or Modified Monash Model is more appropriate than the </w:t>
      </w:r>
      <w:proofErr w:type="spellStart"/>
      <w:r>
        <w:t>PhARIA</w:t>
      </w:r>
      <w:proofErr w:type="spellEnd"/>
      <w:r>
        <w:t xml:space="preserve"> system for the Scholarship Scheme. The former indexes more accurately predict students’ distance from universities and</w:t>
      </w:r>
      <w:r w:rsidR="00837EEC">
        <w:t>,</w:t>
      </w:r>
      <w:r>
        <w:t xml:space="preserve"> therefore, better identify students who are financially disadvantaged. </w:t>
      </w:r>
    </w:p>
    <w:p w14:paraId="1AAF5A88" w14:textId="77777777" w:rsidR="00B21EAA" w:rsidRDefault="00B21EAA" w:rsidP="00B21EAA">
      <w:pPr>
        <w:pStyle w:val="BodyCopy"/>
      </w:pPr>
      <w:r>
        <w:t>Applying a broad definition of rurality that recognises geographic isolation to the Pharmacy Scholarship Scheme will lead to an increase in scholarship demand. However, the application ranking process already in place will ensure students facing the greatest geographical and financial barriers are awarded scholarships.</w:t>
      </w:r>
    </w:p>
    <w:p w14:paraId="5430D92A" w14:textId="77777777" w:rsidR="00F6658D" w:rsidRPr="00F6658D" w:rsidRDefault="00B21EAA" w:rsidP="00B21EAA">
      <w:pPr>
        <w:pStyle w:val="BodyCopy"/>
      </w:pPr>
      <w:r w:rsidRPr="00F6658D">
        <w:t>One stakeholder suggested the funding may be better directed towards assisting students who did not achieve the requisite marks to access alternate pathways to university study.</w:t>
      </w:r>
    </w:p>
    <w:p w14:paraId="7107FE37" w14:textId="77777777" w:rsidR="00B21EAA" w:rsidRDefault="00B21EAA" w:rsidP="00B21EAA">
      <w:pPr>
        <w:pStyle w:val="Heading2"/>
      </w:pPr>
      <w:bookmarkStart w:id="21" w:name="_Toc523318799"/>
      <w:r>
        <w:t>Rural Pharmacy Scholarship Mentor Scheme</w:t>
      </w:r>
      <w:bookmarkEnd w:id="21"/>
    </w:p>
    <w:p w14:paraId="5AB07BA4" w14:textId="1E28CEF2" w:rsidR="00B21EAA" w:rsidRDefault="00B21EAA" w:rsidP="00B21EAA">
      <w:pPr>
        <w:pStyle w:val="Heading3"/>
      </w:pPr>
      <w:bookmarkStart w:id="22" w:name="_Toc523318800"/>
      <w:r>
        <w:t>Context</w:t>
      </w:r>
      <w:bookmarkEnd w:id="22"/>
    </w:p>
    <w:p w14:paraId="3F841F91" w14:textId="77777777" w:rsidR="00B21EAA" w:rsidRPr="006B41E1" w:rsidRDefault="00B21EAA" w:rsidP="00B21EAA">
      <w:pPr>
        <w:pStyle w:val="Heading4"/>
      </w:pPr>
      <w:r w:rsidRPr="006B41E1">
        <w:t>Target population</w:t>
      </w:r>
    </w:p>
    <w:p w14:paraId="4ABBC11C" w14:textId="4CF2A7D2" w:rsidR="00B21EAA" w:rsidRDefault="00B21EAA" w:rsidP="00B21EAA">
      <w:pPr>
        <w:pStyle w:val="BodyCopy"/>
      </w:pPr>
      <w:r>
        <w:t xml:space="preserve">The Rural Pharmacy Scholarship Mentor Scheme is intended to support pharmacy students participating in the Rural Pharmacy Scholarship Scheme and the Aboriginal and Torres Strait Islander Pharmacy Scholarship Scheme. The Mentor Scheme also supports rural pharmacists to provide mentoring to students. </w:t>
      </w:r>
      <w:sdt>
        <w:sdtPr>
          <w:id w:val="560145228"/>
          <w:citation/>
        </w:sdtPr>
        <w:sdtContent>
          <w:r>
            <w:fldChar w:fldCharType="begin"/>
          </w:r>
          <w:r>
            <w:instrText xml:space="preserve">CITATION 6th151 \l 3081 </w:instrText>
          </w:r>
          <w:r>
            <w:fldChar w:fldCharType="separate"/>
          </w:r>
          <w:r w:rsidR="0089011F" w:rsidRPr="0089011F">
            <w:rPr>
              <w:noProof/>
            </w:rPr>
            <w:t>[16]</w:t>
          </w:r>
          <w:r>
            <w:fldChar w:fldCharType="end"/>
          </w:r>
        </w:sdtContent>
      </w:sdt>
    </w:p>
    <w:p w14:paraId="1FEC3B4C" w14:textId="6DA67DEE" w:rsidR="00B21EAA" w:rsidRPr="0082020E" w:rsidRDefault="00B21EAA" w:rsidP="00B21EAA">
      <w:pPr>
        <w:pStyle w:val="Heading4"/>
      </w:pPr>
      <w:r w:rsidRPr="0082020E">
        <w:t xml:space="preserve">Program </w:t>
      </w:r>
      <w:r w:rsidR="00667940">
        <w:t>aim</w:t>
      </w:r>
    </w:p>
    <w:p w14:paraId="44AB8A35" w14:textId="77777777" w:rsidR="00B21EAA" w:rsidRDefault="00B21EAA" w:rsidP="00B21EAA">
      <w:pPr>
        <w:pStyle w:val="BodyCopy"/>
      </w:pPr>
      <w:r w:rsidRPr="004968C4">
        <w:t xml:space="preserve">The Mentor Scheme aims to provide mentoring to students from rural and remote communities and </w:t>
      </w:r>
      <w:r>
        <w:t xml:space="preserve">Aboriginal and Torres Strait Islander </w:t>
      </w:r>
      <w:r w:rsidRPr="004968C4">
        <w:t>students to encourage and enable them to undertake undergraduate and graduate studies in pharmacy at university, leading to a registrable qualification as a pharmacist.</w:t>
      </w:r>
    </w:p>
    <w:p w14:paraId="03E1E48E" w14:textId="77777777" w:rsidR="00B21EAA" w:rsidRPr="0082020E" w:rsidRDefault="00B21EAA" w:rsidP="00B21EAA">
      <w:pPr>
        <w:pStyle w:val="Heading4"/>
      </w:pPr>
      <w:r w:rsidRPr="0082020E">
        <w:t>Program delivery method</w:t>
      </w:r>
    </w:p>
    <w:p w14:paraId="0C09D223" w14:textId="2E10BEC4" w:rsidR="00B21EAA" w:rsidRPr="00F64E3E" w:rsidRDefault="00B21EAA" w:rsidP="00B21EAA">
      <w:pPr>
        <w:pStyle w:val="BodyCopy"/>
      </w:pPr>
      <w:r>
        <w:t>The Mentor Scheme links recipients of the Rural Pharmacy Scholarship Scheme and the Aboriginal and Torres Strait Islander Pharmacy Scholarship Scheme with mentors (</w:t>
      </w:r>
      <w:r w:rsidR="006D3CEE">
        <w:t xml:space="preserve">practising </w:t>
      </w:r>
      <w:r>
        <w:t xml:space="preserve">pharmacists in </w:t>
      </w:r>
      <w:proofErr w:type="spellStart"/>
      <w:r>
        <w:t>PhARIA</w:t>
      </w:r>
      <w:proofErr w:type="spellEnd"/>
      <w:r>
        <w:t xml:space="preserve"> 2</w:t>
      </w:r>
      <w:r w:rsidR="006D3CEE">
        <w:t>–</w:t>
      </w:r>
      <w:r>
        <w:t>6 areas) for the duration of their studies.</w:t>
      </w:r>
      <w:sdt>
        <w:sdtPr>
          <w:id w:val="1373122936"/>
          <w:citation/>
        </w:sdtPr>
        <w:sdtContent>
          <w:r>
            <w:fldChar w:fldCharType="begin"/>
          </w:r>
          <w:r>
            <w:instrText xml:space="preserve"> CITATION 6th151 \l 3081 </w:instrText>
          </w:r>
          <w:r>
            <w:fldChar w:fldCharType="separate"/>
          </w:r>
          <w:r w:rsidR="0089011F">
            <w:rPr>
              <w:noProof/>
            </w:rPr>
            <w:t xml:space="preserve"> </w:t>
          </w:r>
          <w:r w:rsidR="0089011F" w:rsidRPr="0089011F">
            <w:rPr>
              <w:noProof/>
            </w:rPr>
            <w:t>[16]</w:t>
          </w:r>
          <w:r>
            <w:fldChar w:fldCharType="end"/>
          </w:r>
        </w:sdtContent>
      </w:sdt>
      <w:r>
        <w:t xml:space="preserve"> Mentors are required to develop a learning plan with the student and report on the student’s rural health activities. Mentors are offered an honorarium payment of </w:t>
      </w:r>
      <w:r>
        <w:rPr>
          <w:rFonts w:ascii="Times New Roman" w:hAnsi="Times New Roman"/>
        </w:rPr>
        <w:t>$</w:t>
      </w:r>
      <w:r>
        <w:t>375 per mentored student, per year.</w:t>
      </w:r>
    </w:p>
    <w:p w14:paraId="6FCF452E" w14:textId="77777777" w:rsidR="00B21EAA" w:rsidRPr="00F6658D" w:rsidRDefault="00B21EAA" w:rsidP="00B21EAA">
      <w:pPr>
        <w:pStyle w:val="Heading4"/>
      </w:pPr>
      <w:r w:rsidRPr="00F6658D">
        <w:lastRenderedPageBreak/>
        <w:t>Program volumes</w:t>
      </w:r>
    </w:p>
    <w:p w14:paraId="7D9DE5F3" w14:textId="654BB0DB" w:rsidR="00B21EAA" w:rsidRPr="00F6658D" w:rsidRDefault="00B21EAA" w:rsidP="00B21EAA">
      <w:pPr>
        <w:pStyle w:val="BodyCopy"/>
      </w:pPr>
      <w:r w:rsidRPr="00F6658D">
        <w:t>As mentors are allocated to recipients of both the Rural Pharmacy Scholarship Scheme and the Aboriginal and Torres Strait Islander Pharmacy Scholarship Scheme, Mentor Scheme volumes reflect the total volume of both Scholarsh</w:t>
      </w:r>
      <w:r w:rsidR="00F6658D" w:rsidRPr="00F6658D">
        <w:t>ip Schemes. Program data provided by The Guild was de-identified, so it is unclear whether one mentor was assigned to more than one student each year. Assuming each scholarship recipient was assigned a different mentor, 106 mentors are estimated to have taken part in the program during the 2013</w:t>
      </w:r>
      <w:r w:rsidR="006D3CEE">
        <w:t>–</w:t>
      </w:r>
      <w:r w:rsidR="00F6658D" w:rsidRPr="00F6658D">
        <w:t>14 financial year and continuing into the 2014</w:t>
      </w:r>
      <w:r w:rsidR="006D3CEE">
        <w:t>–</w:t>
      </w:r>
      <w:r w:rsidR="00F6658D" w:rsidRPr="00F6658D">
        <w:t xml:space="preserve">15 financial year.  </w:t>
      </w:r>
    </w:p>
    <w:p w14:paraId="2D8B9F61" w14:textId="77777777" w:rsidR="00B21EAA" w:rsidRPr="00F6658D" w:rsidRDefault="00B21EAA" w:rsidP="00B21EAA">
      <w:pPr>
        <w:pStyle w:val="Heading3"/>
      </w:pPr>
      <w:bookmarkStart w:id="23" w:name="_Toc523318801"/>
      <w:r w:rsidRPr="00F6658D">
        <w:t>Evaluation findings</w:t>
      </w:r>
      <w:bookmarkEnd w:id="23"/>
    </w:p>
    <w:p w14:paraId="606E08B4" w14:textId="77777777" w:rsidR="00B21EAA" w:rsidRPr="0082020E" w:rsidRDefault="00B21EAA" w:rsidP="00B21EAA">
      <w:pPr>
        <w:pStyle w:val="Heading4"/>
      </w:pPr>
      <w:r w:rsidRPr="0082020E">
        <w:t>Appropriateness</w:t>
      </w:r>
    </w:p>
    <w:p w14:paraId="7850D1A1" w14:textId="002CD0F4" w:rsidR="00B21EAA" w:rsidRDefault="00B21EAA" w:rsidP="00B21EAA">
      <w:pPr>
        <w:pStyle w:val="BodyCopy"/>
      </w:pPr>
      <w:r>
        <w:t xml:space="preserve">The effectiveness of mentor support for rural students is strongly supported by literature. A South African study of the success factors of the Friends of </w:t>
      </w:r>
      <w:proofErr w:type="spellStart"/>
      <w:r w:rsidRPr="00DF68EB">
        <w:t>Mosveld</w:t>
      </w:r>
      <w:proofErr w:type="spellEnd"/>
      <w:r w:rsidRPr="00DF68EB">
        <w:t xml:space="preserve"> Scholarship Scheme (FOMSS),</w:t>
      </w:r>
      <w:r>
        <w:t xml:space="preserve"> identified support (in the form of mentoring and peer support) was key to rural scholarship recipients returning to practise in their districts. </w:t>
      </w:r>
      <w:sdt>
        <w:sdtPr>
          <w:id w:val="410967383"/>
          <w:citation/>
        </w:sdtPr>
        <w:sdtContent>
          <w:r>
            <w:fldChar w:fldCharType="begin"/>
          </w:r>
          <w:r>
            <w:instrText xml:space="preserve"> CITATION Ros07 \l 3081 </w:instrText>
          </w:r>
          <w:r>
            <w:fldChar w:fldCharType="separate"/>
          </w:r>
          <w:r w:rsidR="0089011F" w:rsidRPr="0089011F">
            <w:rPr>
              <w:noProof/>
            </w:rPr>
            <w:t>[17]</w:t>
          </w:r>
          <w:r>
            <w:fldChar w:fldCharType="end"/>
          </w:r>
        </w:sdtContent>
      </w:sdt>
      <w:r>
        <w:t xml:space="preserve"> However, the study identified mentors’ experience in rural </w:t>
      </w:r>
      <w:r w:rsidR="006D3CEE">
        <w:t xml:space="preserve">practice </w:t>
      </w:r>
      <w:r>
        <w:t xml:space="preserve">was integral to developing meaningful relationships with scholars. </w:t>
      </w:r>
    </w:p>
    <w:p w14:paraId="4F871170" w14:textId="75C6120C" w:rsidR="00B21EAA" w:rsidRDefault="00B21EAA" w:rsidP="00B21EAA">
      <w:pPr>
        <w:pStyle w:val="BodyCopy"/>
      </w:pPr>
      <w:r>
        <w:t xml:space="preserve">The effect of mentoring on the intention of medical graduates in taking up rural </w:t>
      </w:r>
      <w:r w:rsidR="006D3CEE">
        <w:t xml:space="preserve">practice </w:t>
      </w:r>
      <w:r>
        <w:t xml:space="preserve">has been extensively studied by Rabinowitz et al. </w:t>
      </w:r>
      <w:sdt>
        <w:sdtPr>
          <w:id w:val="1962843255"/>
          <w:citation/>
        </w:sdtPr>
        <w:sdtContent>
          <w:r>
            <w:fldChar w:fldCharType="begin"/>
          </w:r>
          <w:r>
            <w:instrText xml:space="preserve"> CITATION Rab99 \l 3081 </w:instrText>
          </w:r>
          <w:r>
            <w:fldChar w:fldCharType="separate"/>
          </w:r>
          <w:r w:rsidR="0089011F" w:rsidRPr="0089011F">
            <w:rPr>
              <w:noProof/>
            </w:rPr>
            <w:t>[18]</w:t>
          </w:r>
          <w:r>
            <w:fldChar w:fldCharType="end"/>
          </w:r>
        </w:sdtContent>
      </w:sdt>
      <w:r>
        <w:t xml:space="preserve"> The authors found that rural mentoring and support for students was one of the best indicators for </w:t>
      </w:r>
      <w:r w:rsidR="006D3CEE">
        <w:t xml:space="preserve">graduates’ </w:t>
      </w:r>
      <w:r>
        <w:t xml:space="preserve">uptake of rural </w:t>
      </w:r>
      <w:r w:rsidR="006D3CEE">
        <w:t>practice</w:t>
      </w:r>
      <w:r>
        <w:t xml:space="preserve">. </w:t>
      </w:r>
      <w:sdt>
        <w:sdtPr>
          <w:id w:val="-262695821"/>
          <w:citation/>
        </w:sdtPr>
        <w:sdtContent>
          <w:r>
            <w:fldChar w:fldCharType="begin"/>
          </w:r>
          <w:r>
            <w:instrText xml:space="preserve"> CITATION Rab99 \l 3081  \m Hum071</w:instrText>
          </w:r>
          <w:r>
            <w:fldChar w:fldCharType="separate"/>
          </w:r>
          <w:r w:rsidR="0089011F" w:rsidRPr="0089011F">
            <w:rPr>
              <w:noProof/>
            </w:rPr>
            <w:t>[18, 19]</w:t>
          </w:r>
          <w:r>
            <w:fldChar w:fldCharType="end"/>
          </w:r>
        </w:sdtContent>
      </w:sdt>
      <w:r>
        <w:t xml:space="preserve"> </w:t>
      </w:r>
    </w:p>
    <w:p w14:paraId="0BB4CA96" w14:textId="36CBA9A8" w:rsidR="00B21EAA" w:rsidRDefault="00B21EAA" w:rsidP="00B21EAA">
      <w:pPr>
        <w:pStyle w:val="BodyCopy"/>
      </w:pPr>
      <w:r>
        <w:t xml:space="preserve">Consultations undertaken as part pf the </w:t>
      </w:r>
      <w:r w:rsidRPr="000E2AE1">
        <w:rPr>
          <w:i/>
        </w:rPr>
        <w:t>Review of Australian Government Health Workforce Programs</w:t>
      </w:r>
      <w:r>
        <w:t xml:space="preserve"> by Jennifer Mason indicated mentoring mechanisms are particularly important in supporting the recruitment and retention of Aboriginal and Torres Strait Islander health professionals.</w:t>
      </w:r>
      <w:sdt>
        <w:sdtPr>
          <w:id w:val="-375007581"/>
          <w:citation/>
        </w:sdtPr>
        <w:sdtContent>
          <w:r>
            <w:fldChar w:fldCharType="begin"/>
          </w:r>
          <w:r>
            <w:instrText xml:space="preserve"> CITATION Mas13 \l 3081 </w:instrText>
          </w:r>
          <w:r>
            <w:fldChar w:fldCharType="separate"/>
          </w:r>
          <w:r w:rsidR="0089011F">
            <w:rPr>
              <w:noProof/>
            </w:rPr>
            <w:t xml:space="preserve"> </w:t>
          </w:r>
          <w:r w:rsidR="0089011F" w:rsidRPr="0089011F">
            <w:rPr>
              <w:noProof/>
            </w:rPr>
            <w:t>[11]</w:t>
          </w:r>
          <w:r>
            <w:fldChar w:fldCharType="end"/>
          </w:r>
        </w:sdtContent>
      </w:sdt>
      <w:r>
        <w:t xml:space="preserve"> The Review recommended all Aboriginal and Torres Strait Islander health students undertaking tertiary education should have access to mentoring throughout the educational pathway and continued into the workforce. </w:t>
      </w:r>
    </w:p>
    <w:p w14:paraId="31CC8840" w14:textId="77777777" w:rsidR="00B21EAA" w:rsidRPr="00EA0A37" w:rsidRDefault="00B21EAA" w:rsidP="00B21EAA">
      <w:pPr>
        <w:pStyle w:val="BodyCopy"/>
        <w:rPr>
          <w:b/>
        </w:rPr>
      </w:pPr>
      <w:r>
        <w:t>One peak body stakeholder noted that the honorarium payment to mentors (</w:t>
      </w:r>
      <w:r>
        <w:rPr>
          <w:rFonts w:ascii="Times New Roman" w:hAnsi="Times New Roman"/>
        </w:rPr>
        <w:t>$</w:t>
      </w:r>
      <w:r>
        <w:t xml:space="preserve">375 per mentored student, per year) was very low in comparison to similar programs (e.g. John Flynn Placement Program pays mentors an honorarium of </w:t>
      </w:r>
      <w:r>
        <w:rPr>
          <w:rFonts w:ascii="Times New Roman" w:hAnsi="Times New Roman"/>
        </w:rPr>
        <w:t>$</w:t>
      </w:r>
      <w:r>
        <w:t>300 per student per placement week). This stakeholder suggested the honorarium payment should be reviewed in the context of other mentor programs. The honorarium payment appears to be low given the amount of time mentors dedicate to their students. Survey findings revealed mentors spend around 29 hours per annum on mentoring activities. If the average time spent on mentoring activities was compensated at the current award rate for experienced pharmacists (</w:t>
      </w:r>
      <w:r>
        <w:rPr>
          <w:rFonts w:ascii="Times New Roman" w:hAnsi="Times New Roman"/>
        </w:rPr>
        <w:t>$</w:t>
      </w:r>
      <w:r>
        <w:t xml:space="preserve">28.78 p/hr), mentors would receive </w:t>
      </w:r>
      <w:r>
        <w:rPr>
          <w:rFonts w:ascii="Times New Roman" w:hAnsi="Times New Roman"/>
        </w:rPr>
        <w:t>$</w:t>
      </w:r>
      <w:r>
        <w:t xml:space="preserve">834.62. However, of the mentors surveyed, 92% stated the honorarium payment at its current value was a helpful contribution to their efforts. </w:t>
      </w:r>
    </w:p>
    <w:p w14:paraId="0E93DC17" w14:textId="77777777" w:rsidR="00485783" w:rsidRPr="00485783" w:rsidRDefault="00485783" w:rsidP="00453658">
      <w:pPr>
        <w:pStyle w:val="Appropriatenessassessment"/>
      </w:pPr>
      <w:r w:rsidRPr="00485783">
        <w:t>Students’ need for mentoring is</w:t>
      </w:r>
      <w:r w:rsidR="00B21EAA" w:rsidRPr="00485783">
        <w:t xml:space="preserve"> supported by literature.</w:t>
      </w:r>
      <w:r w:rsidRPr="00485783">
        <w:t xml:space="preserve"> Other similar scholarship or placement programs include mentoring arrangements.</w:t>
      </w:r>
      <w:r w:rsidR="00B21EAA" w:rsidRPr="00485783">
        <w:t xml:space="preserve"> </w:t>
      </w:r>
    </w:p>
    <w:p w14:paraId="596F13DA" w14:textId="77777777" w:rsidR="00B21EAA" w:rsidRPr="00485783" w:rsidRDefault="00485783" w:rsidP="00453658">
      <w:pPr>
        <w:pStyle w:val="Appropriatenessassessment"/>
      </w:pPr>
      <w:r w:rsidRPr="00485783">
        <w:t>The h</w:t>
      </w:r>
      <w:r w:rsidR="00B21EAA" w:rsidRPr="00485783">
        <w:t>onorarium payment should be reviewed to better compensate the actual tim</w:t>
      </w:r>
      <w:r w:rsidRPr="00485783">
        <w:t>e spent on mentoring activities.</w:t>
      </w:r>
    </w:p>
    <w:p w14:paraId="15598690" w14:textId="77777777" w:rsidR="00B21EAA" w:rsidRPr="0082020E" w:rsidRDefault="00B21EAA" w:rsidP="00B21EAA">
      <w:pPr>
        <w:pStyle w:val="Heading4"/>
      </w:pPr>
      <w:r w:rsidRPr="0082020E">
        <w:t>Effectiveness</w:t>
      </w:r>
    </w:p>
    <w:p w14:paraId="268BF929" w14:textId="703F8A47" w:rsidR="00B21EAA" w:rsidRDefault="00B21EAA" w:rsidP="00B21EAA">
      <w:pPr>
        <w:pStyle w:val="BodyCopy"/>
      </w:pPr>
      <w:r>
        <w:t xml:space="preserve">Most survey respondents who received </w:t>
      </w:r>
      <w:r w:rsidR="00485783">
        <w:t>mentoring</w:t>
      </w:r>
      <w:r>
        <w:t xml:space="preserve"> (85%) found being mentored by a rural community pharmacist was a useful experience. Mentors provided ongoing support and contact with </w:t>
      </w:r>
      <w:r w:rsidR="00485783">
        <w:t>students</w:t>
      </w:r>
      <w:r>
        <w:t xml:space="preserve"> and 32% offered </w:t>
      </w:r>
      <w:r w:rsidR="00485783">
        <w:t>students</w:t>
      </w:r>
      <w:r>
        <w:t xml:space="preserve"> placements or work experience within their practices. Mentorship provided insights into the advantages of rural pharmacy </w:t>
      </w:r>
      <w:r w:rsidR="00030AAE">
        <w:t xml:space="preserve">practice </w:t>
      </w:r>
      <w:r>
        <w:t>and created professional networks for scholarship recipients. However, as outlined in Section 2.1.1, around half of surveyed scholarship recipients proceeded to practise in a rural or remote area after completing their studies.</w:t>
      </w:r>
      <w:r w:rsidR="00B117CE">
        <w:t xml:space="preserve"> While survey feedback from mentors and scholars indicated the program is valued by both groups, it is unclear from this data the extent to which mentorship impacts a student’s decision to practise in a rural area. This question was not explicitly asked in surveys. </w:t>
      </w:r>
    </w:p>
    <w:p w14:paraId="62E2723C" w14:textId="77777777" w:rsidR="00B21EAA" w:rsidRDefault="00B21EAA" w:rsidP="00B21EAA">
      <w:pPr>
        <w:pStyle w:val="BodyCopy"/>
      </w:pPr>
      <w:r>
        <w:t xml:space="preserve">Survey data showed 92% (n=33) of surveyed mentors would </w:t>
      </w:r>
      <w:r w:rsidRPr="00E7625D">
        <w:rPr>
          <w:i/>
        </w:rPr>
        <w:t>‘always’</w:t>
      </w:r>
      <w:r>
        <w:t xml:space="preserve"> or </w:t>
      </w:r>
      <w:r w:rsidRPr="00E7625D">
        <w:rPr>
          <w:i/>
        </w:rPr>
        <w:t>‘sometimes’</w:t>
      </w:r>
      <w:r>
        <w:t xml:space="preserve"> claim the </w:t>
      </w:r>
      <w:r>
        <w:rPr>
          <w:rFonts w:ascii="Times New Roman" w:hAnsi="Times New Roman"/>
        </w:rPr>
        <w:t>$</w:t>
      </w:r>
      <w:r>
        <w:t xml:space="preserve">375 honorarium payment. The 8% of respondents who never claimed </w:t>
      </w:r>
      <w:r>
        <w:lastRenderedPageBreak/>
        <w:t xml:space="preserve">the payment were either too busy or forgot to claim, were not aware that the payment was available or wanted to ‘give back’ to rural community pharmacy. </w:t>
      </w:r>
    </w:p>
    <w:p w14:paraId="2445478F" w14:textId="77777777" w:rsidR="00362464" w:rsidRPr="00362464" w:rsidRDefault="00B21EAA" w:rsidP="00453658">
      <w:pPr>
        <w:pStyle w:val="Effectiveness"/>
      </w:pPr>
      <w:r w:rsidRPr="00362464">
        <w:t>Mentorship was highly valued by scholars</w:t>
      </w:r>
      <w:r w:rsidR="00362464" w:rsidRPr="00362464">
        <w:t>hip recipients. However, it is unclear whether mentoring has an impact on scholars</w:t>
      </w:r>
      <w:r w:rsidR="00362464">
        <w:t>’</w:t>
      </w:r>
      <w:r w:rsidR="00362464" w:rsidRPr="00362464">
        <w:t xml:space="preserve"> intention to return to a rural area once qualified. </w:t>
      </w:r>
    </w:p>
    <w:p w14:paraId="10D6F1AC" w14:textId="77777777" w:rsidR="00B21EAA" w:rsidRPr="00362464" w:rsidRDefault="00362464" w:rsidP="00453658">
      <w:pPr>
        <w:pStyle w:val="Effectiveness"/>
      </w:pPr>
      <w:r w:rsidRPr="00362464">
        <w:t>Most mentors collect the honorarium payment.</w:t>
      </w:r>
    </w:p>
    <w:p w14:paraId="21021A38" w14:textId="77777777" w:rsidR="00B21EAA" w:rsidRPr="0082020E" w:rsidRDefault="00B21EAA" w:rsidP="00B21EAA">
      <w:pPr>
        <w:pStyle w:val="Heading4"/>
      </w:pPr>
      <w:r w:rsidRPr="0082020E">
        <w:t>Efficiency</w:t>
      </w:r>
    </w:p>
    <w:p w14:paraId="68B49BCD" w14:textId="032B6682" w:rsidR="00362464" w:rsidRPr="00121EBA" w:rsidRDefault="00362464" w:rsidP="00121EBA">
      <w:pPr>
        <w:pStyle w:val="BodyCopy"/>
      </w:pPr>
      <w:r w:rsidRPr="00362464">
        <w:t>Across the 2013</w:t>
      </w:r>
      <w:r w:rsidR="00030AAE">
        <w:t>–</w:t>
      </w:r>
      <w:r w:rsidRPr="00362464">
        <w:t>14 and 2014</w:t>
      </w:r>
      <w:r w:rsidR="00030AAE">
        <w:t>–</w:t>
      </w:r>
      <w:r w:rsidRPr="00362464">
        <w:t xml:space="preserve">15 financial years, the total average annual cost of the Mentor Scheme was </w:t>
      </w:r>
      <w:r w:rsidRPr="00121EBA">
        <w:t>$104,132</w:t>
      </w:r>
      <w:r w:rsidR="00030AAE" w:rsidRPr="00121EBA">
        <w:t>,</w:t>
      </w:r>
      <w:r w:rsidRPr="00121EBA">
        <w:t xml:space="preserve"> which includes administration overhead estimate of $64,876. </w:t>
      </w:r>
    </w:p>
    <w:p w14:paraId="73C9EFEB" w14:textId="4E4B559A" w:rsidR="00362464" w:rsidRPr="00362464" w:rsidRDefault="00362464" w:rsidP="00362464">
      <w:pPr>
        <w:spacing w:line="240" w:lineRule="auto"/>
        <w:rPr>
          <w:rFonts w:ascii="Garamond" w:eastAsia="Times New Roman" w:hAnsi="Garamond"/>
          <w:color w:val="000000"/>
          <w:spacing w:val="0"/>
          <w:szCs w:val="22"/>
          <w:lang w:eastAsia="en-AU"/>
        </w:rPr>
      </w:pPr>
      <w:r>
        <w:rPr>
          <w:rFonts w:ascii="Garamond" w:eastAsia="Times New Roman" w:hAnsi="Garamond"/>
          <w:color w:val="000000"/>
          <w:spacing w:val="0"/>
          <w:szCs w:val="22"/>
          <w:lang w:eastAsia="en-AU"/>
        </w:rPr>
        <w:t>A unit cost, that is the cost of allocating a mentor to each scholarship recipient</w:t>
      </w:r>
      <w:r w:rsidR="00030AAE">
        <w:rPr>
          <w:rFonts w:ascii="Garamond" w:eastAsia="Times New Roman" w:hAnsi="Garamond"/>
          <w:color w:val="000000"/>
          <w:spacing w:val="0"/>
          <w:szCs w:val="22"/>
          <w:lang w:eastAsia="en-AU"/>
        </w:rPr>
        <w:t>,</w:t>
      </w:r>
      <w:r>
        <w:rPr>
          <w:rFonts w:ascii="Garamond" w:eastAsia="Times New Roman" w:hAnsi="Garamond"/>
          <w:color w:val="000000"/>
          <w:spacing w:val="0"/>
          <w:szCs w:val="22"/>
          <w:lang w:eastAsia="en-AU"/>
        </w:rPr>
        <w:t xml:space="preserve"> was estimated at </w:t>
      </w:r>
      <w:r>
        <w:rPr>
          <w:rFonts w:ascii="Times New Roman" w:eastAsia="Times New Roman" w:hAnsi="Times New Roman"/>
          <w:color w:val="000000"/>
          <w:spacing w:val="0"/>
          <w:szCs w:val="22"/>
          <w:lang w:eastAsia="en-AU"/>
        </w:rPr>
        <w:t>$</w:t>
      </w:r>
      <w:r>
        <w:rPr>
          <w:rFonts w:ascii="Garamond" w:eastAsia="Times New Roman" w:hAnsi="Garamond"/>
          <w:color w:val="000000"/>
          <w:spacing w:val="0"/>
          <w:szCs w:val="22"/>
          <w:lang w:eastAsia="en-AU"/>
        </w:rPr>
        <w:t xml:space="preserve">987, which includes an administration overhead estimate of </w:t>
      </w:r>
      <w:r w:rsidR="00394E99">
        <w:rPr>
          <w:rFonts w:ascii="Times New Roman" w:eastAsia="Times New Roman" w:hAnsi="Times New Roman"/>
          <w:color w:val="000000"/>
          <w:spacing w:val="0"/>
          <w:szCs w:val="22"/>
          <w:lang w:eastAsia="en-AU"/>
        </w:rPr>
        <w:t>$</w:t>
      </w:r>
      <w:r w:rsidR="00394E99">
        <w:rPr>
          <w:rFonts w:ascii="Garamond" w:eastAsia="Times New Roman" w:hAnsi="Garamond"/>
          <w:color w:val="000000"/>
          <w:spacing w:val="0"/>
          <w:szCs w:val="22"/>
          <w:lang w:eastAsia="en-AU"/>
        </w:rPr>
        <w:t xml:space="preserve">612. This comprises 62% of the total unit cost. This is outside the acceptable range for program administration costs. However, this figure likely overestimates the actual administration expenditure for the Mentor Scheme because of the high volumes and relatively low direct program cost (i.e. </w:t>
      </w:r>
      <w:r w:rsidR="00394E99">
        <w:rPr>
          <w:rFonts w:ascii="Times New Roman" w:eastAsia="Times New Roman" w:hAnsi="Times New Roman"/>
          <w:color w:val="000000"/>
          <w:spacing w:val="0"/>
          <w:szCs w:val="22"/>
          <w:lang w:eastAsia="en-AU"/>
        </w:rPr>
        <w:t>$</w:t>
      </w:r>
      <w:r w:rsidR="00394E99">
        <w:rPr>
          <w:rFonts w:ascii="Garamond" w:eastAsia="Times New Roman" w:hAnsi="Garamond"/>
          <w:color w:val="000000"/>
          <w:spacing w:val="0"/>
          <w:szCs w:val="22"/>
          <w:lang w:eastAsia="en-AU"/>
        </w:rPr>
        <w:t xml:space="preserve">375 per mentor). </w:t>
      </w:r>
    </w:p>
    <w:p w14:paraId="25061285" w14:textId="77777777" w:rsidR="00425CE9" w:rsidRPr="00306668" w:rsidRDefault="00425CE9" w:rsidP="00306668">
      <w:pPr>
        <w:pStyle w:val="Efficiency"/>
      </w:pPr>
      <w:r w:rsidRPr="00306668">
        <w:t xml:space="preserve">A single unit cost per mentor was estimated at </w:t>
      </w:r>
      <w:r w:rsidRPr="009A65BB">
        <w:t>$</w:t>
      </w:r>
      <w:r w:rsidRPr="00306668">
        <w:t>987 including 62% administration overhead costs. This was considered outside the acceptable range for administration overheads. However, further investigation is required to assess actual time spent administering the program.</w:t>
      </w:r>
    </w:p>
    <w:p w14:paraId="75012D70" w14:textId="77777777" w:rsidR="00B21EAA" w:rsidRPr="00884DCB" w:rsidRDefault="00B21EAA" w:rsidP="00B21EAA">
      <w:pPr>
        <w:pStyle w:val="Heading4"/>
      </w:pPr>
      <w:r>
        <w:t>Options for improving program operation</w:t>
      </w:r>
    </w:p>
    <w:p w14:paraId="49391993" w14:textId="3308380F" w:rsidR="00B21EAA" w:rsidRDefault="00B21EAA" w:rsidP="00B21EAA">
      <w:pPr>
        <w:pStyle w:val="BodyCopy"/>
      </w:pPr>
      <w:r>
        <w:t>While most mentors and students found the Scheme to be a mutually beneficial program, both groups highlighted issues with the program. Survey findings revealed 32% of mentors offer their students work experience or placements. One mentor suggested the Scheme should provide funding for mentors to offer paid hours to students who complete a placement. A practical way to support mentors to offer paid work experience to their students is to link the Mentorship Scheme with the Intern Incentive Allowance for Rural Pharmacies</w:t>
      </w:r>
      <w:r w:rsidR="00030AAE">
        <w:t>,</w:t>
      </w:r>
      <w:r>
        <w:t xml:space="preserve"> whereby each scholar could </w:t>
      </w:r>
      <w:r>
        <w:t xml:space="preserve">complete an intern year at their mentor’s pharmacy </w:t>
      </w:r>
      <w:r w:rsidR="00030AAE">
        <w:t>practice</w:t>
      </w:r>
      <w:r>
        <w:t xml:space="preserve">, supported by the Allowance. </w:t>
      </w:r>
    </w:p>
    <w:p w14:paraId="2E96E7DB" w14:textId="5D5B5F15" w:rsidR="00B21EAA" w:rsidRDefault="00B21EAA" w:rsidP="00B21EAA">
      <w:pPr>
        <w:pStyle w:val="BodyCopy"/>
      </w:pPr>
      <w:r>
        <w:t xml:space="preserve">Survey data identified the lack of resources or structure to study the outcomes of the Mentor Scheme. One mentor felt the Scheme would show more benefit if mentored students were tracked to record how many continue into rural </w:t>
      </w:r>
      <w:r w:rsidR="00F7229D">
        <w:t>practice</w:t>
      </w:r>
      <w:r>
        <w:t>. Linking the Mentor Scheme with the Intern Incentive Allowance would ensure scholarship recipients complete their intern year in a rural area. Australian Health Practitioner Regulation Agency (AHPRA) data can be used to monitor movement of pharmacy interns into graduate roles</w:t>
      </w:r>
      <w:r w:rsidRPr="00FD3A0F">
        <w:t>. Additional resources would need to be committed by the Department to track mentored students over a longer period.</w:t>
      </w:r>
      <w:r>
        <w:t xml:space="preserve"> </w:t>
      </w:r>
    </w:p>
    <w:p w14:paraId="6E499306" w14:textId="3C5A82B3" w:rsidR="00B21EAA" w:rsidRDefault="00B21EAA" w:rsidP="00B21EAA">
      <w:pPr>
        <w:pStyle w:val="BodyCopy"/>
      </w:pPr>
      <w:r>
        <w:t>While the honorarium payment is less than other mentorship schemes and does not reflect the amount of time spent by mentors, nearly all mentors surveyed were appreciative of the payment as recognition of their effort. Therefore, increasing the value of the honorarium payment is unlikely to result in stronger engagement with the Scheme. HMA contend</w:t>
      </w:r>
      <w:r w:rsidR="00F7229D">
        <w:t>s</w:t>
      </w:r>
      <w:r>
        <w:t xml:space="preserve"> that program funding would be better allocated elsewhere. </w:t>
      </w:r>
    </w:p>
    <w:p w14:paraId="179A3E8D" w14:textId="77777777" w:rsidR="00B21EAA" w:rsidRPr="00FD3A0F" w:rsidRDefault="00B21EAA" w:rsidP="004911F7">
      <w:pPr>
        <w:pStyle w:val="Heading2"/>
      </w:pPr>
      <w:bookmarkStart w:id="24" w:name="_Toc523318802"/>
      <w:r w:rsidRPr="00FD3A0F">
        <w:t>Rural Intern Training Allowance</w:t>
      </w:r>
      <w:bookmarkEnd w:id="24"/>
    </w:p>
    <w:p w14:paraId="135E53F5" w14:textId="1711E741" w:rsidR="00B21EAA" w:rsidRDefault="00B21EAA" w:rsidP="004911F7">
      <w:pPr>
        <w:pStyle w:val="Heading3"/>
      </w:pPr>
      <w:bookmarkStart w:id="25" w:name="_Toc523318803"/>
      <w:r>
        <w:t>Context</w:t>
      </w:r>
      <w:bookmarkEnd w:id="25"/>
    </w:p>
    <w:p w14:paraId="24C7A257" w14:textId="09C60E64" w:rsidR="00B21EAA" w:rsidRPr="00AA481A" w:rsidRDefault="00B21EAA" w:rsidP="004911F7">
      <w:pPr>
        <w:pStyle w:val="Heading4"/>
      </w:pPr>
      <w:r w:rsidRPr="00AA481A">
        <w:t>Target population</w:t>
      </w:r>
    </w:p>
    <w:p w14:paraId="19ABB043" w14:textId="493C24AF" w:rsidR="00B21EAA" w:rsidRDefault="00B21EAA" w:rsidP="00B21EAA">
      <w:pPr>
        <w:pStyle w:val="BodyCopy"/>
      </w:pPr>
      <w:r>
        <w:t xml:space="preserve">The Rural Intern Training Allowance (RITA) supports pharmacy interns </w:t>
      </w:r>
      <w:r w:rsidR="00F7229D">
        <w:t xml:space="preserve">practising </w:t>
      </w:r>
      <w:r>
        <w:t>in rural areas (</w:t>
      </w:r>
      <w:proofErr w:type="spellStart"/>
      <w:r>
        <w:t>PhARIA</w:t>
      </w:r>
      <w:proofErr w:type="spellEnd"/>
      <w:r>
        <w:t xml:space="preserve"> 2</w:t>
      </w:r>
      <w:r w:rsidR="00F7229D">
        <w:t>–</w:t>
      </w:r>
      <w:r>
        <w:t xml:space="preserve">6). </w:t>
      </w:r>
      <w:sdt>
        <w:sdtPr>
          <w:id w:val="28315195"/>
          <w:citation/>
        </w:sdtPr>
        <w:sdtContent>
          <w:r>
            <w:fldChar w:fldCharType="begin"/>
          </w:r>
          <w:r>
            <w:instrText xml:space="preserve"> CITATION The1514 \l 3081 </w:instrText>
          </w:r>
          <w:r>
            <w:fldChar w:fldCharType="separate"/>
          </w:r>
          <w:r w:rsidR="0089011F" w:rsidRPr="0089011F">
            <w:rPr>
              <w:noProof/>
            </w:rPr>
            <w:t>[20]</w:t>
          </w:r>
          <w:r>
            <w:fldChar w:fldCharType="end"/>
          </w:r>
        </w:sdtContent>
      </w:sdt>
    </w:p>
    <w:p w14:paraId="6A95A6D8" w14:textId="535FFF5F" w:rsidR="00B21EAA" w:rsidRPr="0082020E" w:rsidRDefault="00B21EAA" w:rsidP="004911F7">
      <w:pPr>
        <w:pStyle w:val="Heading4"/>
      </w:pPr>
      <w:r w:rsidRPr="0082020E">
        <w:t xml:space="preserve">Program </w:t>
      </w:r>
      <w:r w:rsidR="00667940">
        <w:t>aim</w:t>
      </w:r>
    </w:p>
    <w:p w14:paraId="0A2EA8A1" w14:textId="087E925C" w:rsidR="00B21EAA" w:rsidRDefault="00B21EAA" w:rsidP="00B21EAA">
      <w:pPr>
        <w:pStyle w:val="BodyCopy"/>
      </w:pPr>
      <w:r w:rsidRPr="004968C4">
        <w:t xml:space="preserve">The </w:t>
      </w:r>
      <w:r w:rsidR="00F7229D">
        <w:t>RITA</w:t>
      </w:r>
      <w:r w:rsidRPr="004968C4">
        <w:t xml:space="preserve"> aims to reduce the additional costs incurred by intern pharmacists practising in rural and remote communities to undertake compulsory workshops and examinations that are part of an Intern Training Program.</w:t>
      </w:r>
    </w:p>
    <w:p w14:paraId="3B07DB24" w14:textId="77777777" w:rsidR="00B21EAA" w:rsidRPr="0082020E" w:rsidRDefault="00B21EAA" w:rsidP="004911F7">
      <w:pPr>
        <w:pStyle w:val="Heading4"/>
      </w:pPr>
      <w:r w:rsidRPr="0082020E">
        <w:lastRenderedPageBreak/>
        <w:t>Program delivery method</w:t>
      </w:r>
    </w:p>
    <w:p w14:paraId="376EC5D3" w14:textId="2A790974" w:rsidR="00B21EAA" w:rsidRDefault="00B21EAA" w:rsidP="00B21EAA">
      <w:pPr>
        <w:pStyle w:val="BodyCopy"/>
      </w:pPr>
      <w:r>
        <w:t>The RITA provides financial support to rural intern pharmacists to enable them to undertake compulsory intern year training events (e.g. exams, workshops).</w:t>
      </w:r>
      <w:sdt>
        <w:sdtPr>
          <w:id w:val="-202402710"/>
          <w:citation/>
        </w:sdtPr>
        <w:sdtContent>
          <w:r>
            <w:fldChar w:fldCharType="begin"/>
          </w:r>
          <w:r>
            <w:instrText xml:space="preserve"> CITATION The1514 \l 3081 </w:instrText>
          </w:r>
          <w:r>
            <w:fldChar w:fldCharType="separate"/>
          </w:r>
          <w:r w:rsidR="0089011F">
            <w:rPr>
              <w:noProof/>
            </w:rPr>
            <w:t xml:space="preserve"> </w:t>
          </w:r>
          <w:r w:rsidR="0089011F" w:rsidRPr="0089011F">
            <w:rPr>
              <w:noProof/>
            </w:rPr>
            <w:t>[20]</w:t>
          </w:r>
          <w:r>
            <w:fldChar w:fldCharType="end"/>
          </w:r>
        </w:sdtContent>
      </w:sdt>
      <w:r>
        <w:t xml:space="preserve"> Funding of up to </w:t>
      </w:r>
      <w:r>
        <w:rPr>
          <w:rFonts w:ascii="Times New Roman" w:hAnsi="Times New Roman"/>
        </w:rPr>
        <w:t>$</w:t>
      </w:r>
      <w:r>
        <w:t>1,500 per intern per financial year is available to help cover travel and accommodation costs associated with attending intern training events delivered in metropolitan or other regional / rural centres. Calculations for car travel are made based on the number of kilometres travelled (minimum of 200</w:t>
      </w:r>
      <w:r w:rsidR="00F7229D">
        <w:t xml:space="preserve"> </w:t>
      </w:r>
      <w:r>
        <w:t>km and maximum of 500</w:t>
      </w:r>
      <w:r w:rsidR="00F7229D">
        <w:t xml:space="preserve"> </w:t>
      </w:r>
      <w:r>
        <w:t xml:space="preserve">km per claim) and the engine capacity of the car. </w:t>
      </w:r>
    </w:p>
    <w:p w14:paraId="2FA81003" w14:textId="77777777" w:rsidR="00B21EAA" w:rsidRPr="00C02C70" w:rsidRDefault="00B21EAA" w:rsidP="00B21EAA">
      <w:pPr>
        <w:pStyle w:val="BodyCopy"/>
      </w:pPr>
      <w:r>
        <w:t>In order to claim costs, interns must provide evidence to validate claims such as proof of residency/citizenship, proof of attendance and receipts. Applications must be received within 60 days of the conclusion of the event. A separate application must be submitted for each event.</w:t>
      </w:r>
    </w:p>
    <w:p w14:paraId="5D7B0D31" w14:textId="77777777" w:rsidR="00B21EAA" w:rsidRPr="0082020E" w:rsidRDefault="00B21EAA" w:rsidP="004911F7">
      <w:pPr>
        <w:pStyle w:val="Heading4"/>
      </w:pPr>
      <w:r w:rsidRPr="0082020E">
        <w:t>Program volumes</w:t>
      </w:r>
    </w:p>
    <w:p w14:paraId="54B6034A" w14:textId="2547BE0C" w:rsidR="00B21EAA" w:rsidRDefault="00B21EAA" w:rsidP="00B21EAA">
      <w:pPr>
        <w:pStyle w:val="BodyCopy"/>
      </w:pPr>
      <w:r>
        <w:t xml:space="preserve">For the three full calendar years in which program data was available (2013 to 2015), there were 559 RITA allowances paid, equating to </w:t>
      </w:r>
      <w:r>
        <w:rPr>
          <w:rFonts w:ascii="Times New Roman" w:hAnsi="Times New Roman"/>
        </w:rPr>
        <w:t>$</w:t>
      </w:r>
      <w:r w:rsidRPr="001360D0">
        <w:t>253</w:t>
      </w:r>
      <w:r>
        <w:t>,</w:t>
      </w:r>
      <w:r w:rsidRPr="001360D0">
        <w:t>41</w:t>
      </w:r>
      <w:r>
        <w:t xml:space="preserve">8 over the three years. Allowance numbers and expenditure were consistent across the three years as shown in </w:t>
      </w:r>
      <w:r>
        <w:fldChar w:fldCharType="begin"/>
      </w:r>
      <w:r>
        <w:instrText xml:space="preserve"> REF _Ref487536933 \h </w:instrText>
      </w:r>
      <w:r>
        <w:fldChar w:fldCharType="separate"/>
      </w:r>
      <w:r w:rsidR="00910E65">
        <w:t xml:space="preserve">Table </w:t>
      </w:r>
      <w:r w:rsidR="00910E65">
        <w:rPr>
          <w:noProof/>
        </w:rPr>
        <w:t>2</w:t>
      </w:r>
      <w:r w:rsidR="00910E65">
        <w:t>.</w:t>
      </w:r>
      <w:r w:rsidR="00910E65">
        <w:rPr>
          <w:noProof/>
        </w:rPr>
        <w:t>2</w:t>
      </w:r>
      <w:r>
        <w:fldChar w:fldCharType="end"/>
      </w:r>
      <w:r>
        <w:t xml:space="preserve">. </w:t>
      </w:r>
    </w:p>
    <w:p w14:paraId="65A91CB3" w14:textId="47B8D014" w:rsidR="00B21EAA" w:rsidRPr="001360D0" w:rsidRDefault="00B21EAA" w:rsidP="00B21EAA">
      <w:pPr>
        <w:pStyle w:val="Caption"/>
        <w:rPr>
          <w:rStyle w:val="Captionnotbold"/>
        </w:rPr>
      </w:pPr>
      <w:bookmarkStart w:id="26" w:name="_Ref487536933"/>
      <w:r>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2</w:t>
      </w:r>
      <w:r w:rsidR="00BC6E6C">
        <w:rPr>
          <w:noProof/>
        </w:rPr>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2</w:t>
      </w:r>
      <w:r w:rsidR="00BC6E6C">
        <w:rPr>
          <w:noProof/>
        </w:rPr>
        <w:fldChar w:fldCharType="end"/>
      </w:r>
      <w:bookmarkEnd w:id="26"/>
      <w:r>
        <w:t xml:space="preserve">: </w:t>
      </w:r>
      <w:r w:rsidRPr="001360D0">
        <w:rPr>
          <w:rStyle w:val="Captionnotbold"/>
        </w:rPr>
        <w:t>RITA allowances and expenditure by calendar year, 2013 to 2015</w:t>
      </w:r>
    </w:p>
    <w:tbl>
      <w:tblPr>
        <w:tblStyle w:val="HMATable"/>
        <w:tblW w:w="5000" w:type="pct"/>
        <w:tblLook w:val="04E0" w:firstRow="1" w:lastRow="1" w:firstColumn="1" w:lastColumn="0" w:noHBand="0" w:noVBand="1"/>
        <w:tblCaption w:val="Table 2.2: RITA allowances and expenditure by calendar year, 2013 to 2015"/>
        <w:tblDescription w:val="Table 2.2: RITA allowances and expenditure by calendar year, 2013 to 2015"/>
      </w:tblPr>
      <w:tblGrid>
        <w:gridCol w:w="1099"/>
        <w:gridCol w:w="1597"/>
        <w:gridCol w:w="2053"/>
        <w:gridCol w:w="2286"/>
      </w:tblGrid>
      <w:tr w:rsidR="00B21EAA" w:rsidRPr="001360D0" w14:paraId="051B2515" w14:textId="77777777" w:rsidTr="00461052">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748" w:type="pct"/>
            <w:noWrap/>
            <w:hideMark/>
          </w:tcPr>
          <w:p w14:paraId="23BEF1AB" w14:textId="77777777" w:rsidR="00B21EAA" w:rsidRPr="001360D0" w:rsidRDefault="00B21EAA" w:rsidP="00802453">
            <w:pPr>
              <w:pStyle w:val="TableColumnHeading"/>
            </w:pPr>
            <w:r>
              <w:t>Calendar Year</w:t>
            </w:r>
          </w:p>
        </w:tc>
        <w:tc>
          <w:tcPr>
            <w:tcW w:w="1437" w:type="pct"/>
            <w:noWrap/>
            <w:hideMark/>
          </w:tcPr>
          <w:p w14:paraId="6F4A0383" w14:textId="77777777" w:rsidR="00B21EAA" w:rsidRPr="001360D0" w:rsidRDefault="00B21EAA" w:rsidP="00802453">
            <w:pPr>
              <w:pStyle w:val="TableColumnHeading"/>
              <w:jc w:val="center"/>
              <w:cnfStyle w:val="100000000000" w:firstRow="1" w:lastRow="0" w:firstColumn="0" w:lastColumn="0" w:oddVBand="0" w:evenVBand="0" w:oddHBand="0" w:evenHBand="0" w:firstRowFirstColumn="0" w:firstRowLastColumn="0" w:lastRowFirstColumn="0" w:lastRowLastColumn="0"/>
            </w:pPr>
            <w:r>
              <w:t>RITA allowances paid</w:t>
            </w:r>
          </w:p>
        </w:tc>
        <w:tc>
          <w:tcPr>
            <w:tcW w:w="1287" w:type="pct"/>
            <w:noWrap/>
            <w:hideMark/>
          </w:tcPr>
          <w:p w14:paraId="0575A2FE" w14:textId="77777777" w:rsidR="00B21EAA" w:rsidRPr="001360D0" w:rsidRDefault="00B21EAA" w:rsidP="00802453">
            <w:pPr>
              <w:pStyle w:val="TableColumnHeading"/>
              <w:jc w:val="center"/>
              <w:cnfStyle w:val="100000000000" w:firstRow="1" w:lastRow="0" w:firstColumn="0" w:lastColumn="0" w:oddVBand="0" w:evenVBand="0" w:oddHBand="0" w:evenHBand="0" w:firstRowFirstColumn="0" w:firstRowLastColumn="0" w:lastRowFirstColumn="0" w:lastRowLastColumn="0"/>
            </w:pPr>
            <w:r>
              <w:t>RITA allowance expenditure</w:t>
            </w:r>
          </w:p>
        </w:tc>
        <w:tc>
          <w:tcPr>
            <w:tcW w:w="1527" w:type="pct"/>
            <w:noWrap/>
            <w:hideMark/>
          </w:tcPr>
          <w:p w14:paraId="0CFA9B0E" w14:textId="77777777" w:rsidR="00B21EAA" w:rsidRPr="001360D0" w:rsidRDefault="00B21EAA" w:rsidP="00802453">
            <w:pPr>
              <w:pStyle w:val="TableColumnHeading"/>
              <w:jc w:val="center"/>
              <w:cnfStyle w:val="100000000000" w:firstRow="1" w:lastRow="0" w:firstColumn="0" w:lastColumn="0" w:oddVBand="0" w:evenVBand="0" w:oddHBand="0" w:evenHBand="0" w:firstRowFirstColumn="0" w:firstRowLastColumn="0" w:lastRowFirstColumn="0" w:lastRowLastColumn="0"/>
            </w:pPr>
            <w:r w:rsidRPr="001360D0">
              <w:t xml:space="preserve">Average </w:t>
            </w:r>
            <w:r>
              <w:t>amount per allowance</w:t>
            </w:r>
          </w:p>
        </w:tc>
      </w:tr>
      <w:tr w:rsidR="00B21EAA" w:rsidRPr="001360D0" w14:paraId="36504A4F" w14:textId="77777777" w:rsidTr="00802453">
        <w:trPr>
          <w:trHeight w:val="300"/>
        </w:trPr>
        <w:tc>
          <w:tcPr>
            <w:cnfStyle w:val="001000000000" w:firstRow="0" w:lastRow="0" w:firstColumn="1" w:lastColumn="0" w:oddVBand="0" w:evenVBand="0" w:oddHBand="0" w:evenHBand="0" w:firstRowFirstColumn="0" w:firstRowLastColumn="0" w:lastRowFirstColumn="0" w:lastRowLastColumn="0"/>
            <w:tcW w:w="748" w:type="pct"/>
            <w:noWrap/>
            <w:hideMark/>
          </w:tcPr>
          <w:p w14:paraId="7D6A448E" w14:textId="77777777" w:rsidR="00B21EAA" w:rsidRPr="001360D0" w:rsidRDefault="00B21EAA" w:rsidP="00802453">
            <w:pPr>
              <w:pStyle w:val="TableCopy"/>
            </w:pPr>
            <w:r w:rsidRPr="001360D0">
              <w:t>2013</w:t>
            </w:r>
          </w:p>
        </w:tc>
        <w:tc>
          <w:tcPr>
            <w:tcW w:w="1437" w:type="pct"/>
            <w:noWrap/>
            <w:hideMark/>
          </w:tcPr>
          <w:p w14:paraId="70D5090C" w14:textId="77777777" w:rsidR="00B21EAA" w:rsidRPr="001360D0" w:rsidRDefault="00B21EAA" w:rsidP="00802453">
            <w:pPr>
              <w:pStyle w:val="TableCopy"/>
              <w:jc w:val="center"/>
              <w:cnfStyle w:val="000000000000" w:firstRow="0" w:lastRow="0" w:firstColumn="0" w:lastColumn="0" w:oddVBand="0" w:evenVBand="0" w:oddHBand="0" w:evenHBand="0" w:firstRowFirstColumn="0" w:firstRowLastColumn="0" w:lastRowFirstColumn="0" w:lastRowLastColumn="0"/>
            </w:pPr>
            <w:r w:rsidRPr="001360D0">
              <w:t>190</w:t>
            </w:r>
          </w:p>
        </w:tc>
        <w:tc>
          <w:tcPr>
            <w:tcW w:w="1287" w:type="pct"/>
            <w:noWrap/>
            <w:hideMark/>
          </w:tcPr>
          <w:p w14:paraId="37C90F2A" w14:textId="77777777" w:rsidR="00B21EAA" w:rsidRPr="001360D0" w:rsidRDefault="00B21EAA" w:rsidP="00802453">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Pr="001360D0">
              <w:t>85</w:t>
            </w:r>
            <w:r>
              <w:t>,</w:t>
            </w:r>
            <w:r w:rsidRPr="001360D0">
              <w:t>19</w:t>
            </w:r>
            <w:r>
              <w:t>9</w:t>
            </w:r>
          </w:p>
        </w:tc>
        <w:tc>
          <w:tcPr>
            <w:tcW w:w="1527" w:type="pct"/>
            <w:noWrap/>
            <w:hideMark/>
          </w:tcPr>
          <w:p w14:paraId="37579733" w14:textId="77777777" w:rsidR="00B21EAA" w:rsidRPr="001360D0" w:rsidRDefault="00B21EAA" w:rsidP="00802453">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t>448</w:t>
            </w:r>
          </w:p>
        </w:tc>
      </w:tr>
      <w:tr w:rsidR="00B21EAA" w:rsidRPr="001360D0" w14:paraId="6AF930D5" w14:textId="77777777" w:rsidTr="00802453">
        <w:trPr>
          <w:trHeight w:val="300"/>
        </w:trPr>
        <w:tc>
          <w:tcPr>
            <w:cnfStyle w:val="001000000000" w:firstRow="0" w:lastRow="0" w:firstColumn="1" w:lastColumn="0" w:oddVBand="0" w:evenVBand="0" w:oddHBand="0" w:evenHBand="0" w:firstRowFirstColumn="0" w:firstRowLastColumn="0" w:lastRowFirstColumn="0" w:lastRowLastColumn="0"/>
            <w:tcW w:w="748" w:type="pct"/>
            <w:noWrap/>
            <w:hideMark/>
          </w:tcPr>
          <w:p w14:paraId="413F76D1" w14:textId="77777777" w:rsidR="00B21EAA" w:rsidRPr="001360D0" w:rsidRDefault="00B21EAA" w:rsidP="00802453">
            <w:pPr>
              <w:pStyle w:val="TableCopy"/>
            </w:pPr>
            <w:r w:rsidRPr="001360D0">
              <w:t>2014</w:t>
            </w:r>
          </w:p>
        </w:tc>
        <w:tc>
          <w:tcPr>
            <w:tcW w:w="1437" w:type="pct"/>
            <w:noWrap/>
            <w:hideMark/>
          </w:tcPr>
          <w:p w14:paraId="3ABDF9A8" w14:textId="77777777" w:rsidR="00B21EAA" w:rsidRPr="001360D0" w:rsidRDefault="00B21EAA" w:rsidP="00802453">
            <w:pPr>
              <w:pStyle w:val="TableCopy"/>
              <w:jc w:val="center"/>
              <w:cnfStyle w:val="000000000000" w:firstRow="0" w:lastRow="0" w:firstColumn="0" w:lastColumn="0" w:oddVBand="0" w:evenVBand="0" w:oddHBand="0" w:evenHBand="0" w:firstRowFirstColumn="0" w:firstRowLastColumn="0" w:lastRowFirstColumn="0" w:lastRowLastColumn="0"/>
            </w:pPr>
            <w:r w:rsidRPr="001360D0">
              <w:t>190</w:t>
            </w:r>
          </w:p>
        </w:tc>
        <w:tc>
          <w:tcPr>
            <w:tcW w:w="1287" w:type="pct"/>
            <w:noWrap/>
            <w:hideMark/>
          </w:tcPr>
          <w:p w14:paraId="251F71AF" w14:textId="77777777" w:rsidR="00B21EAA" w:rsidRPr="001360D0" w:rsidRDefault="00B21EAA" w:rsidP="00802453">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Pr="001360D0">
              <w:t>86</w:t>
            </w:r>
            <w:r>
              <w:t>,</w:t>
            </w:r>
            <w:r w:rsidRPr="001360D0">
              <w:t>44</w:t>
            </w:r>
            <w:r>
              <w:t>3</w:t>
            </w:r>
          </w:p>
        </w:tc>
        <w:tc>
          <w:tcPr>
            <w:tcW w:w="1527" w:type="pct"/>
            <w:noWrap/>
            <w:hideMark/>
          </w:tcPr>
          <w:p w14:paraId="4258FD46" w14:textId="77777777" w:rsidR="00B21EAA" w:rsidRPr="001360D0" w:rsidRDefault="00B21EAA" w:rsidP="00802453">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Pr="001360D0">
              <w:t>45</w:t>
            </w:r>
            <w:r>
              <w:t>5</w:t>
            </w:r>
          </w:p>
        </w:tc>
      </w:tr>
      <w:tr w:rsidR="00B21EAA" w:rsidRPr="001360D0" w14:paraId="5131B40C" w14:textId="77777777" w:rsidTr="00802453">
        <w:trPr>
          <w:trHeight w:val="300"/>
        </w:trPr>
        <w:tc>
          <w:tcPr>
            <w:cnfStyle w:val="001000000000" w:firstRow="0" w:lastRow="0" w:firstColumn="1" w:lastColumn="0" w:oddVBand="0" w:evenVBand="0" w:oddHBand="0" w:evenHBand="0" w:firstRowFirstColumn="0" w:firstRowLastColumn="0" w:lastRowFirstColumn="0" w:lastRowLastColumn="0"/>
            <w:tcW w:w="748" w:type="pct"/>
            <w:noWrap/>
            <w:hideMark/>
          </w:tcPr>
          <w:p w14:paraId="74D34360" w14:textId="77777777" w:rsidR="00B21EAA" w:rsidRPr="001360D0" w:rsidRDefault="00B21EAA" w:rsidP="00802453">
            <w:pPr>
              <w:pStyle w:val="TableCopy"/>
            </w:pPr>
            <w:r w:rsidRPr="001360D0">
              <w:t>2015</w:t>
            </w:r>
          </w:p>
        </w:tc>
        <w:tc>
          <w:tcPr>
            <w:tcW w:w="1437" w:type="pct"/>
            <w:noWrap/>
            <w:hideMark/>
          </w:tcPr>
          <w:p w14:paraId="67CCBE92" w14:textId="77777777" w:rsidR="00B21EAA" w:rsidRPr="001360D0" w:rsidRDefault="00B21EAA" w:rsidP="00802453">
            <w:pPr>
              <w:pStyle w:val="TableCopy"/>
              <w:jc w:val="center"/>
              <w:cnfStyle w:val="000000000000" w:firstRow="0" w:lastRow="0" w:firstColumn="0" w:lastColumn="0" w:oddVBand="0" w:evenVBand="0" w:oddHBand="0" w:evenHBand="0" w:firstRowFirstColumn="0" w:firstRowLastColumn="0" w:lastRowFirstColumn="0" w:lastRowLastColumn="0"/>
            </w:pPr>
            <w:r w:rsidRPr="001360D0">
              <w:t>179</w:t>
            </w:r>
          </w:p>
        </w:tc>
        <w:tc>
          <w:tcPr>
            <w:tcW w:w="1287" w:type="pct"/>
            <w:noWrap/>
            <w:hideMark/>
          </w:tcPr>
          <w:p w14:paraId="34B7DB41" w14:textId="77777777" w:rsidR="00B21EAA" w:rsidRPr="001360D0" w:rsidRDefault="00B21EAA" w:rsidP="00802453">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Pr="001360D0">
              <w:t>81</w:t>
            </w:r>
            <w:r>
              <w:t>,</w:t>
            </w:r>
            <w:r w:rsidRPr="001360D0">
              <w:t>77</w:t>
            </w:r>
            <w:r>
              <w:t>7</w:t>
            </w:r>
          </w:p>
        </w:tc>
        <w:tc>
          <w:tcPr>
            <w:tcW w:w="1527" w:type="pct"/>
            <w:noWrap/>
            <w:hideMark/>
          </w:tcPr>
          <w:p w14:paraId="0C631BE4" w14:textId="77777777" w:rsidR="00B21EAA" w:rsidRPr="001360D0" w:rsidRDefault="00B21EAA" w:rsidP="00802453">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Pr="001360D0">
              <w:t>45</w:t>
            </w:r>
            <w:r>
              <w:t>7</w:t>
            </w:r>
          </w:p>
        </w:tc>
      </w:tr>
      <w:tr w:rsidR="00B21EAA" w:rsidRPr="001360D0" w14:paraId="7EDC9DAF" w14:textId="77777777" w:rsidTr="00802453">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8" w:type="pct"/>
            <w:noWrap/>
            <w:hideMark/>
          </w:tcPr>
          <w:p w14:paraId="7AD50F5D" w14:textId="77777777" w:rsidR="00B21EAA" w:rsidRPr="001360D0" w:rsidRDefault="00B21EAA" w:rsidP="00802453">
            <w:pPr>
              <w:pStyle w:val="TableCopy"/>
            </w:pPr>
            <w:r w:rsidRPr="001360D0">
              <w:t>Total</w:t>
            </w:r>
          </w:p>
        </w:tc>
        <w:tc>
          <w:tcPr>
            <w:tcW w:w="1437" w:type="pct"/>
            <w:noWrap/>
            <w:hideMark/>
          </w:tcPr>
          <w:p w14:paraId="5ABB6F46" w14:textId="77777777" w:rsidR="00B21EAA" w:rsidRPr="001360D0" w:rsidRDefault="00B21EAA" w:rsidP="00802453">
            <w:pPr>
              <w:pStyle w:val="TableCopy"/>
              <w:jc w:val="center"/>
              <w:cnfStyle w:val="010000000000" w:firstRow="0" w:lastRow="1" w:firstColumn="0" w:lastColumn="0" w:oddVBand="0" w:evenVBand="0" w:oddHBand="0" w:evenHBand="0" w:firstRowFirstColumn="0" w:firstRowLastColumn="0" w:lastRowFirstColumn="0" w:lastRowLastColumn="0"/>
            </w:pPr>
            <w:r w:rsidRPr="001360D0">
              <w:t>559</w:t>
            </w:r>
          </w:p>
        </w:tc>
        <w:tc>
          <w:tcPr>
            <w:tcW w:w="1287" w:type="pct"/>
            <w:noWrap/>
            <w:hideMark/>
          </w:tcPr>
          <w:p w14:paraId="63A8C072" w14:textId="734427B3" w:rsidR="00B21EAA" w:rsidRPr="001360D0" w:rsidRDefault="00B21EAA" w:rsidP="00802453">
            <w:pPr>
              <w:pStyle w:val="TableCopy"/>
              <w:jc w:val="center"/>
              <w:cnfStyle w:val="010000000000" w:firstRow="0" w:lastRow="1" w:firstColumn="0" w:lastColumn="0" w:oddVBand="0" w:evenVBand="0" w:oddHBand="0" w:evenHBand="0" w:firstRowFirstColumn="0" w:firstRowLastColumn="0" w:lastRowFirstColumn="0" w:lastRowLastColumn="0"/>
            </w:pPr>
            <w:r>
              <w:rPr>
                <w:rFonts w:ascii="Times New Roman" w:hAnsi="Times New Roman"/>
              </w:rPr>
              <w:t>$</w:t>
            </w:r>
            <w:r w:rsidRPr="001360D0">
              <w:t>253</w:t>
            </w:r>
            <w:r>
              <w:t>,</w:t>
            </w:r>
            <w:r w:rsidRPr="001360D0">
              <w:t>41</w:t>
            </w:r>
            <w:r w:rsidR="002A38D4">
              <w:t>9</w:t>
            </w:r>
          </w:p>
        </w:tc>
        <w:tc>
          <w:tcPr>
            <w:tcW w:w="1527" w:type="pct"/>
            <w:noWrap/>
            <w:hideMark/>
          </w:tcPr>
          <w:p w14:paraId="5BEBC475" w14:textId="77777777" w:rsidR="00B21EAA" w:rsidRPr="001360D0" w:rsidRDefault="00B21EAA" w:rsidP="00802453">
            <w:pPr>
              <w:pStyle w:val="TableCopy"/>
              <w:jc w:val="center"/>
              <w:cnfStyle w:val="010000000000" w:firstRow="0" w:lastRow="1" w:firstColumn="0" w:lastColumn="0" w:oddVBand="0" w:evenVBand="0" w:oddHBand="0" w:evenHBand="0" w:firstRowFirstColumn="0" w:firstRowLastColumn="0" w:lastRowFirstColumn="0" w:lastRowLastColumn="0"/>
            </w:pPr>
            <w:r>
              <w:rPr>
                <w:rFonts w:ascii="Times New Roman" w:hAnsi="Times New Roman"/>
              </w:rPr>
              <w:t>$</w:t>
            </w:r>
            <w:r>
              <w:t>453</w:t>
            </w:r>
          </w:p>
        </w:tc>
      </w:tr>
    </w:tbl>
    <w:p w14:paraId="709A32F7" w14:textId="2E552CC9" w:rsidR="00B21EAA" w:rsidRDefault="00B21EAA" w:rsidP="00B21EAA">
      <w:pPr>
        <w:pStyle w:val="BodyCopy"/>
      </w:pPr>
      <w:r>
        <w:t xml:space="preserve">Examination of program data by </w:t>
      </w:r>
      <w:proofErr w:type="spellStart"/>
      <w:r>
        <w:t>PhARIA</w:t>
      </w:r>
      <w:proofErr w:type="spellEnd"/>
      <w:r>
        <w:t xml:space="preserve"> showed that most allowances were paid to interns located in </w:t>
      </w:r>
      <w:proofErr w:type="spellStart"/>
      <w:r>
        <w:t>PhARIA</w:t>
      </w:r>
      <w:proofErr w:type="spellEnd"/>
      <w:r>
        <w:t xml:space="preserve"> 2 (n=164, 29.3%) or PHARIA 3 (n=163, 29.2%). Approximately one third of RITA allowances were claimed by interns in </w:t>
      </w:r>
      <w:proofErr w:type="spellStart"/>
      <w:r>
        <w:t>PhARIAs</w:t>
      </w:r>
      <w:proofErr w:type="spellEnd"/>
      <w:r>
        <w:t xml:space="preserve"> 4 to 6 combined. A small proportion of approved allowances had not been classified by </w:t>
      </w:r>
      <w:proofErr w:type="spellStart"/>
      <w:r>
        <w:t>PhARIA</w:t>
      </w:r>
      <w:proofErr w:type="spellEnd"/>
      <w:r>
        <w:t xml:space="preserve"> (</w:t>
      </w:r>
      <w:proofErr w:type="spellStart"/>
      <w:r w:rsidR="00AB5C1D">
        <w:t>PhARIA</w:t>
      </w:r>
      <w:proofErr w:type="spellEnd"/>
      <w:r w:rsidR="00AB5C1D">
        <w:t xml:space="preserve"> </w:t>
      </w:r>
      <w:r>
        <w:t xml:space="preserve">0, 2.5%), and a small proportion (2.5%) were </w:t>
      </w:r>
      <w:r>
        <w:t xml:space="preserve">allocated to interns in a </w:t>
      </w:r>
      <w:proofErr w:type="spellStart"/>
      <w:r>
        <w:t>PhARIA</w:t>
      </w:r>
      <w:proofErr w:type="spellEnd"/>
      <w:r>
        <w:t xml:space="preserve"> 1 location that had been given an exemption to the eligibility criteria (e.g. Geraldton in WA). See </w:t>
      </w:r>
      <w:r>
        <w:fldChar w:fldCharType="begin"/>
      </w:r>
      <w:r>
        <w:instrText xml:space="preserve"> REF _Ref487538885 \h </w:instrText>
      </w:r>
      <w:r>
        <w:fldChar w:fldCharType="separate"/>
      </w:r>
      <w:r w:rsidR="00910E65">
        <w:t xml:space="preserve">Table </w:t>
      </w:r>
      <w:r w:rsidR="00910E65">
        <w:rPr>
          <w:noProof/>
        </w:rPr>
        <w:t>2</w:t>
      </w:r>
      <w:r w:rsidR="00910E65">
        <w:t>.</w:t>
      </w:r>
      <w:r w:rsidR="00910E65">
        <w:rPr>
          <w:noProof/>
        </w:rPr>
        <w:t>3</w:t>
      </w:r>
      <w:r>
        <w:fldChar w:fldCharType="end"/>
      </w:r>
      <w:r>
        <w:t xml:space="preserve"> and </w:t>
      </w:r>
      <w:r>
        <w:fldChar w:fldCharType="begin"/>
      </w:r>
      <w:r>
        <w:instrText xml:space="preserve"> REF _Ref487538894 \h </w:instrText>
      </w:r>
      <w:r>
        <w:fldChar w:fldCharType="separate"/>
      </w:r>
      <w:r w:rsidR="00910E65">
        <w:t xml:space="preserve">Figure </w:t>
      </w:r>
      <w:r w:rsidR="00910E65">
        <w:rPr>
          <w:noProof/>
        </w:rPr>
        <w:t>2</w:t>
      </w:r>
      <w:r w:rsidR="00910E65">
        <w:t>.</w:t>
      </w:r>
      <w:r w:rsidR="00910E65">
        <w:rPr>
          <w:noProof/>
        </w:rPr>
        <w:t>1</w:t>
      </w:r>
      <w:r>
        <w:fldChar w:fldCharType="end"/>
      </w:r>
      <w:r>
        <w:t>.</w:t>
      </w:r>
    </w:p>
    <w:p w14:paraId="66A21940" w14:textId="4644DCCB" w:rsidR="00B21EAA" w:rsidRPr="001360D0" w:rsidRDefault="00B21EAA" w:rsidP="00B21EAA">
      <w:pPr>
        <w:pStyle w:val="Caption"/>
        <w:rPr>
          <w:rStyle w:val="Captionnotbold"/>
        </w:rPr>
      </w:pPr>
      <w:bookmarkStart w:id="27" w:name="_Ref487538885"/>
      <w:r>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2</w:t>
      </w:r>
      <w:r w:rsidR="00BC6E6C">
        <w:rPr>
          <w:noProof/>
        </w:rPr>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3</w:t>
      </w:r>
      <w:r w:rsidR="00BC6E6C">
        <w:rPr>
          <w:noProof/>
        </w:rPr>
        <w:fldChar w:fldCharType="end"/>
      </w:r>
      <w:bookmarkEnd w:id="27"/>
      <w:r>
        <w:t xml:space="preserve">: </w:t>
      </w:r>
      <w:r w:rsidRPr="001360D0">
        <w:rPr>
          <w:rStyle w:val="Captionnotbold"/>
        </w:rPr>
        <w:t xml:space="preserve">RITA </w:t>
      </w:r>
      <w:r>
        <w:rPr>
          <w:rStyle w:val="Captionnotbold"/>
        </w:rPr>
        <w:t>volume</w:t>
      </w:r>
      <w:r w:rsidRPr="001360D0">
        <w:rPr>
          <w:rStyle w:val="Captionnotbold"/>
        </w:rPr>
        <w:t xml:space="preserve"> by </w:t>
      </w:r>
      <w:proofErr w:type="spellStart"/>
      <w:r>
        <w:rPr>
          <w:rStyle w:val="Captionnotbold"/>
        </w:rPr>
        <w:t>PhARIA</w:t>
      </w:r>
      <w:proofErr w:type="spellEnd"/>
      <w:r w:rsidRPr="001360D0">
        <w:rPr>
          <w:rStyle w:val="Captionnotbold"/>
        </w:rPr>
        <w:t>, 2013 to 2015</w:t>
      </w:r>
    </w:p>
    <w:tbl>
      <w:tblPr>
        <w:tblStyle w:val="HMATable"/>
        <w:tblW w:w="3317" w:type="dxa"/>
        <w:jc w:val="center"/>
        <w:tblLook w:val="04A0" w:firstRow="1" w:lastRow="0" w:firstColumn="1" w:lastColumn="0" w:noHBand="0" w:noVBand="1"/>
        <w:tblCaption w:val="Table 2.3 RITA volume by PhARIA, 2013 to 2015"/>
        <w:tblDescription w:val="Table 2.3 RITA volume by PhARIA, 2013 to 2015"/>
      </w:tblPr>
      <w:tblGrid>
        <w:gridCol w:w="1215"/>
        <w:gridCol w:w="1094"/>
        <w:gridCol w:w="1008"/>
      </w:tblGrid>
      <w:tr w:rsidR="00B21EAA" w:rsidRPr="00AC5180" w14:paraId="7B37CB58" w14:textId="77777777" w:rsidTr="00461052">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100" w:firstRow="0" w:lastRow="0" w:firstColumn="1" w:lastColumn="0" w:oddVBand="0" w:evenVBand="0" w:oddHBand="0" w:evenHBand="0" w:firstRowFirstColumn="1" w:firstRowLastColumn="0" w:lastRowFirstColumn="0" w:lastRowLastColumn="0"/>
            <w:tcW w:w="1215" w:type="dxa"/>
            <w:noWrap/>
            <w:hideMark/>
          </w:tcPr>
          <w:p w14:paraId="73AF9F43" w14:textId="712B7447" w:rsidR="00B21EAA" w:rsidRPr="00AC5180" w:rsidRDefault="00B21EAA" w:rsidP="00802453">
            <w:pPr>
              <w:pStyle w:val="TableCopy"/>
              <w:keepNext/>
              <w:rPr>
                <w:rStyle w:val="Captionnotbold"/>
              </w:rPr>
            </w:pPr>
          </w:p>
        </w:tc>
        <w:tc>
          <w:tcPr>
            <w:tcW w:w="2102" w:type="dxa"/>
            <w:gridSpan w:val="2"/>
            <w:noWrap/>
            <w:hideMark/>
          </w:tcPr>
          <w:p w14:paraId="337DC693" w14:textId="77777777" w:rsidR="00B21EAA" w:rsidRPr="00AC5180" w:rsidRDefault="00B21EAA" w:rsidP="00802453">
            <w:pPr>
              <w:pStyle w:val="TableCopy"/>
              <w:keepNext/>
              <w:cnfStyle w:val="100000000000" w:firstRow="1" w:lastRow="0" w:firstColumn="0" w:lastColumn="0" w:oddVBand="0" w:evenVBand="0" w:oddHBand="0" w:evenHBand="0" w:firstRowFirstColumn="0" w:firstRowLastColumn="0" w:lastRowFirstColumn="0" w:lastRowLastColumn="0"/>
              <w:rPr>
                <w:rStyle w:val="Captionnotbold"/>
              </w:rPr>
            </w:pPr>
            <w:r w:rsidRPr="00AC5180">
              <w:rPr>
                <w:rStyle w:val="Captionnotbold"/>
              </w:rPr>
              <w:t xml:space="preserve">RITA </w:t>
            </w:r>
            <w:r>
              <w:rPr>
                <w:rStyle w:val="Captionnotbold"/>
              </w:rPr>
              <w:t>volume</w:t>
            </w:r>
          </w:p>
        </w:tc>
      </w:tr>
      <w:tr w:rsidR="00B21EAA" w:rsidRPr="00AC5180" w14:paraId="07E786EA" w14:textId="77777777" w:rsidTr="00EC343A">
        <w:trPr>
          <w:trHeight w:val="300"/>
          <w:jc w:val="center"/>
        </w:trPr>
        <w:tc>
          <w:tcPr>
            <w:cnfStyle w:val="001000000000" w:firstRow="0" w:lastRow="0" w:firstColumn="1" w:lastColumn="0" w:oddVBand="0" w:evenVBand="0" w:oddHBand="0" w:evenHBand="0" w:firstRowFirstColumn="0" w:firstRowLastColumn="0" w:lastRowFirstColumn="0" w:lastRowLastColumn="0"/>
            <w:tcW w:w="1215" w:type="dxa"/>
            <w:shd w:val="clear" w:color="auto" w:fill="BEBEBE" w:themeFill="accent5"/>
            <w:noWrap/>
          </w:tcPr>
          <w:p w14:paraId="2680D5EC" w14:textId="2B18CBBE" w:rsidR="00B21EAA" w:rsidRPr="00AC5180" w:rsidRDefault="00EC343A" w:rsidP="00802453">
            <w:pPr>
              <w:pStyle w:val="TableCopy"/>
              <w:keepNext/>
              <w:rPr>
                <w:rStyle w:val="Captionnotbold"/>
              </w:rPr>
            </w:pPr>
            <w:proofErr w:type="spellStart"/>
            <w:r w:rsidRPr="00AC5180">
              <w:rPr>
                <w:rStyle w:val="Captionnotbold"/>
              </w:rPr>
              <w:t>PhARIA</w:t>
            </w:r>
            <w:proofErr w:type="spellEnd"/>
          </w:p>
        </w:tc>
        <w:tc>
          <w:tcPr>
            <w:tcW w:w="1094" w:type="dxa"/>
            <w:noWrap/>
          </w:tcPr>
          <w:p w14:paraId="379B8864"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rStyle w:val="Captionnotbold"/>
              </w:rPr>
            </w:pPr>
            <w:r>
              <w:rPr>
                <w:rStyle w:val="Captionnotbold"/>
              </w:rPr>
              <w:t>n</w:t>
            </w:r>
          </w:p>
        </w:tc>
        <w:tc>
          <w:tcPr>
            <w:tcW w:w="1008" w:type="dxa"/>
            <w:noWrap/>
          </w:tcPr>
          <w:p w14:paraId="64CC2D02"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rStyle w:val="Captionnotbold"/>
              </w:rPr>
            </w:pPr>
            <w:r>
              <w:rPr>
                <w:rStyle w:val="Captionnotbold"/>
              </w:rPr>
              <w:t>%</w:t>
            </w:r>
          </w:p>
        </w:tc>
      </w:tr>
      <w:tr w:rsidR="00B21EAA" w:rsidRPr="00AC5180" w14:paraId="14D93D3E" w14:textId="77777777" w:rsidTr="00802453">
        <w:trPr>
          <w:trHeight w:val="300"/>
          <w:jc w:val="center"/>
        </w:trPr>
        <w:tc>
          <w:tcPr>
            <w:cnfStyle w:val="001000000000" w:firstRow="0" w:lastRow="0" w:firstColumn="1" w:lastColumn="0" w:oddVBand="0" w:evenVBand="0" w:oddHBand="0" w:evenHBand="0" w:firstRowFirstColumn="0" w:firstRowLastColumn="0" w:lastRowFirstColumn="0" w:lastRowLastColumn="0"/>
            <w:tcW w:w="1215" w:type="dxa"/>
            <w:noWrap/>
            <w:hideMark/>
          </w:tcPr>
          <w:p w14:paraId="582F62AC" w14:textId="77777777" w:rsidR="00B21EAA" w:rsidRPr="00AC5180" w:rsidRDefault="00B21EAA" w:rsidP="00802453">
            <w:pPr>
              <w:pStyle w:val="TableCopy"/>
              <w:keepNext/>
              <w:rPr>
                <w:lang w:eastAsia="en-AU"/>
              </w:rPr>
            </w:pPr>
            <w:r w:rsidRPr="00AC5180">
              <w:rPr>
                <w:lang w:eastAsia="en-AU"/>
              </w:rPr>
              <w:t>0</w:t>
            </w:r>
          </w:p>
        </w:tc>
        <w:tc>
          <w:tcPr>
            <w:tcW w:w="1094" w:type="dxa"/>
            <w:noWrap/>
            <w:hideMark/>
          </w:tcPr>
          <w:p w14:paraId="2CE94C02"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lang w:eastAsia="en-AU"/>
              </w:rPr>
            </w:pPr>
            <w:r w:rsidRPr="00AC5180">
              <w:rPr>
                <w:lang w:eastAsia="en-AU"/>
              </w:rPr>
              <w:t>14</w:t>
            </w:r>
          </w:p>
        </w:tc>
        <w:tc>
          <w:tcPr>
            <w:tcW w:w="1008" w:type="dxa"/>
            <w:noWrap/>
            <w:hideMark/>
          </w:tcPr>
          <w:p w14:paraId="0D15B54F"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lang w:eastAsia="en-AU"/>
              </w:rPr>
            </w:pPr>
            <w:r w:rsidRPr="00AC5180">
              <w:rPr>
                <w:lang w:eastAsia="en-AU"/>
              </w:rPr>
              <w:t>2.5%</w:t>
            </w:r>
          </w:p>
        </w:tc>
      </w:tr>
      <w:tr w:rsidR="00B21EAA" w:rsidRPr="00AC5180" w14:paraId="76402EBF" w14:textId="77777777" w:rsidTr="00802453">
        <w:trPr>
          <w:trHeight w:val="300"/>
          <w:jc w:val="center"/>
        </w:trPr>
        <w:tc>
          <w:tcPr>
            <w:cnfStyle w:val="001000000000" w:firstRow="0" w:lastRow="0" w:firstColumn="1" w:lastColumn="0" w:oddVBand="0" w:evenVBand="0" w:oddHBand="0" w:evenHBand="0" w:firstRowFirstColumn="0" w:firstRowLastColumn="0" w:lastRowFirstColumn="0" w:lastRowLastColumn="0"/>
            <w:tcW w:w="1215" w:type="dxa"/>
            <w:noWrap/>
            <w:hideMark/>
          </w:tcPr>
          <w:p w14:paraId="6D0F2712" w14:textId="77777777" w:rsidR="00B21EAA" w:rsidRPr="00AC5180" w:rsidRDefault="00B21EAA" w:rsidP="00802453">
            <w:pPr>
              <w:pStyle w:val="TableCopy"/>
              <w:keepNext/>
              <w:rPr>
                <w:lang w:eastAsia="en-AU"/>
              </w:rPr>
            </w:pPr>
            <w:r w:rsidRPr="00AC5180">
              <w:rPr>
                <w:lang w:eastAsia="en-AU"/>
              </w:rPr>
              <w:t>1</w:t>
            </w:r>
          </w:p>
        </w:tc>
        <w:tc>
          <w:tcPr>
            <w:tcW w:w="1094" w:type="dxa"/>
            <w:noWrap/>
            <w:hideMark/>
          </w:tcPr>
          <w:p w14:paraId="795ADC8A"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lang w:eastAsia="en-AU"/>
              </w:rPr>
            </w:pPr>
            <w:r w:rsidRPr="00AC5180">
              <w:rPr>
                <w:lang w:eastAsia="en-AU"/>
              </w:rPr>
              <w:t>14</w:t>
            </w:r>
          </w:p>
        </w:tc>
        <w:tc>
          <w:tcPr>
            <w:tcW w:w="1008" w:type="dxa"/>
            <w:noWrap/>
            <w:hideMark/>
          </w:tcPr>
          <w:p w14:paraId="2DCB95D7"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lang w:eastAsia="en-AU"/>
              </w:rPr>
            </w:pPr>
            <w:r w:rsidRPr="00AC5180">
              <w:rPr>
                <w:lang w:eastAsia="en-AU"/>
              </w:rPr>
              <w:t>2.5%</w:t>
            </w:r>
          </w:p>
        </w:tc>
      </w:tr>
      <w:tr w:rsidR="00B21EAA" w:rsidRPr="00AC5180" w14:paraId="6FDAFB62" w14:textId="77777777" w:rsidTr="00802453">
        <w:trPr>
          <w:trHeight w:val="300"/>
          <w:jc w:val="center"/>
        </w:trPr>
        <w:tc>
          <w:tcPr>
            <w:cnfStyle w:val="001000000000" w:firstRow="0" w:lastRow="0" w:firstColumn="1" w:lastColumn="0" w:oddVBand="0" w:evenVBand="0" w:oddHBand="0" w:evenHBand="0" w:firstRowFirstColumn="0" w:firstRowLastColumn="0" w:lastRowFirstColumn="0" w:lastRowLastColumn="0"/>
            <w:tcW w:w="1215" w:type="dxa"/>
            <w:noWrap/>
            <w:hideMark/>
          </w:tcPr>
          <w:p w14:paraId="174E46D5" w14:textId="77777777" w:rsidR="00B21EAA" w:rsidRPr="00AC5180" w:rsidRDefault="00B21EAA" w:rsidP="00802453">
            <w:pPr>
              <w:pStyle w:val="TableCopy"/>
              <w:keepNext/>
              <w:rPr>
                <w:lang w:eastAsia="en-AU"/>
              </w:rPr>
            </w:pPr>
            <w:r w:rsidRPr="00AC5180">
              <w:rPr>
                <w:lang w:eastAsia="en-AU"/>
              </w:rPr>
              <w:t>2</w:t>
            </w:r>
          </w:p>
        </w:tc>
        <w:tc>
          <w:tcPr>
            <w:tcW w:w="1094" w:type="dxa"/>
            <w:noWrap/>
            <w:hideMark/>
          </w:tcPr>
          <w:p w14:paraId="31000D28"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lang w:eastAsia="en-AU"/>
              </w:rPr>
            </w:pPr>
            <w:r w:rsidRPr="00AC5180">
              <w:rPr>
                <w:lang w:eastAsia="en-AU"/>
              </w:rPr>
              <w:t>164</w:t>
            </w:r>
          </w:p>
        </w:tc>
        <w:tc>
          <w:tcPr>
            <w:tcW w:w="1008" w:type="dxa"/>
            <w:noWrap/>
            <w:hideMark/>
          </w:tcPr>
          <w:p w14:paraId="6A057EB6"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lang w:eastAsia="en-AU"/>
              </w:rPr>
            </w:pPr>
            <w:r w:rsidRPr="00AC5180">
              <w:rPr>
                <w:lang w:eastAsia="en-AU"/>
              </w:rPr>
              <w:t>29.3%</w:t>
            </w:r>
          </w:p>
        </w:tc>
      </w:tr>
      <w:tr w:rsidR="00B21EAA" w:rsidRPr="00AC5180" w14:paraId="1D603A41" w14:textId="77777777" w:rsidTr="00802453">
        <w:trPr>
          <w:trHeight w:val="300"/>
          <w:jc w:val="center"/>
        </w:trPr>
        <w:tc>
          <w:tcPr>
            <w:cnfStyle w:val="001000000000" w:firstRow="0" w:lastRow="0" w:firstColumn="1" w:lastColumn="0" w:oddVBand="0" w:evenVBand="0" w:oddHBand="0" w:evenHBand="0" w:firstRowFirstColumn="0" w:firstRowLastColumn="0" w:lastRowFirstColumn="0" w:lastRowLastColumn="0"/>
            <w:tcW w:w="1215" w:type="dxa"/>
            <w:noWrap/>
            <w:hideMark/>
          </w:tcPr>
          <w:p w14:paraId="3EEAD4B0" w14:textId="77777777" w:rsidR="00B21EAA" w:rsidRPr="00AC5180" w:rsidRDefault="00B21EAA" w:rsidP="00802453">
            <w:pPr>
              <w:pStyle w:val="TableCopy"/>
              <w:keepNext/>
              <w:rPr>
                <w:lang w:eastAsia="en-AU"/>
              </w:rPr>
            </w:pPr>
            <w:r w:rsidRPr="00AC5180">
              <w:rPr>
                <w:lang w:eastAsia="en-AU"/>
              </w:rPr>
              <w:t>3</w:t>
            </w:r>
          </w:p>
        </w:tc>
        <w:tc>
          <w:tcPr>
            <w:tcW w:w="1094" w:type="dxa"/>
            <w:noWrap/>
            <w:hideMark/>
          </w:tcPr>
          <w:p w14:paraId="51EE47F7"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lang w:eastAsia="en-AU"/>
              </w:rPr>
            </w:pPr>
            <w:r w:rsidRPr="00AC5180">
              <w:rPr>
                <w:lang w:eastAsia="en-AU"/>
              </w:rPr>
              <w:t>163</w:t>
            </w:r>
          </w:p>
        </w:tc>
        <w:tc>
          <w:tcPr>
            <w:tcW w:w="1008" w:type="dxa"/>
            <w:noWrap/>
            <w:hideMark/>
          </w:tcPr>
          <w:p w14:paraId="3D4BBB61"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lang w:eastAsia="en-AU"/>
              </w:rPr>
            </w:pPr>
            <w:r w:rsidRPr="00AC5180">
              <w:rPr>
                <w:lang w:eastAsia="en-AU"/>
              </w:rPr>
              <w:t>29.2%</w:t>
            </w:r>
          </w:p>
        </w:tc>
      </w:tr>
      <w:tr w:rsidR="00B21EAA" w:rsidRPr="00AC5180" w14:paraId="4DB1D5AF" w14:textId="77777777" w:rsidTr="00802453">
        <w:trPr>
          <w:trHeight w:val="300"/>
          <w:jc w:val="center"/>
        </w:trPr>
        <w:tc>
          <w:tcPr>
            <w:cnfStyle w:val="001000000000" w:firstRow="0" w:lastRow="0" w:firstColumn="1" w:lastColumn="0" w:oddVBand="0" w:evenVBand="0" w:oddHBand="0" w:evenHBand="0" w:firstRowFirstColumn="0" w:firstRowLastColumn="0" w:lastRowFirstColumn="0" w:lastRowLastColumn="0"/>
            <w:tcW w:w="1215" w:type="dxa"/>
            <w:noWrap/>
            <w:hideMark/>
          </w:tcPr>
          <w:p w14:paraId="0FA78411" w14:textId="77777777" w:rsidR="00B21EAA" w:rsidRPr="00AC5180" w:rsidRDefault="00B21EAA" w:rsidP="00802453">
            <w:pPr>
              <w:pStyle w:val="TableCopy"/>
              <w:keepNext/>
              <w:rPr>
                <w:lang w:eastAsia="en-AU"/>
              </w:rPr>
            </w:pPr>
            <w:r w:rsidRPr="00AC5180">
              <w:rPr>
                <w:lang w:eastAsia="en-AU"/>
              </w:rPr>
              <w:t>4</w:t>
            </w:r>
          </w:p>
        </w:tc>
        <w:tc>
          <w:tcPr>
            <w:tcW w:w="1094" w:type="dxa"/>
            <w:noWrap/>
            <w:hideMark/>
          </w:tcPr>
          <w:p w14:paraId="28823959"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lang w:eastAsia="en-AU"/>
              </w:rPr>
            </w:pPr>
            <w:r w:rsidRPr="00AC5180">
              <w:rPr>
                <w:lang w:eastAsia="en-AU"/>
              </w:rPr>
              <w:t>74</w:t>
            </w:r>
          </w:p>
        </w:tc>
        <w:tc>
          <w:tcPr>
            <w:tcW w:w="1008" w:type="dxa"/>
            <w:noWrap/>
            <w:hideMark/>
          </w:tcPr>
          <w:p w14:paraId="26DED583"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lang w:eastAsia="en-AU"/>
              </w:rPr>
            </w:pPr>
            <w:r w:rsidRPr="00AC5180">
              <w:rPr>
                <w:lang w:eastAsia="en-AU"/>
              </w:rPr>
              <w:t>13.2%</w:t>
            </w:r>
          </w:p>
        </w:tc>
      </w:tr>
      <w:tr w:rsidR="00B21EAA" w:rsidRPr="00AC5180" w14:paraId="5E6DCF71" w14:textId="77777777" w:rsidTr="00802453">
        <w:trPr>
          <w:trHeight w:val="300"/>
          <w:jc w:val="center"/>
        </w:trPr>
        <w:tc>
          <w:tcPr>
            <w:cnfStyle w:val="001000000000" w:firstRow="0" w:lastRow="0" w:firstColumn="1" w:lastColumn="0" w:oddVBand="0" w:evenVBand="0" w:oddHBand="0" w:evenHBand="0" w:firstRowFirstColumn="0" w:firstRowLastColumn="0" w:lastRowFirstColumn="0" w:lastRowLastColumn="0"/>
            <w:tcW w:w="1215" w:type="dxa"/>
            <w:noWrap/>
            <w:hideMark/>
          </w:tcPr>
          <w:p w14:paraId="3A5F8546" w14:textId="77777777" w:rsidR="00B21EAA" w:rsidRPr="00AC5180" w:rsidRDefault="00B21EAA" w:rsidP="00802453">
            <w:pPr>
              <w:pStyle w:val="TableCopy"/>
              <w:keepNext/>
              <w:rPr>
                <w:lang w:eastAsia="en-AU"/>
              </w:rPr>
            </w:pPr>
            <w:r w:rsidRPr="00AC5180">
              <w:rPr>
                <w:lang w:eastAsia="en-AU"/>
              </w:rPr>
              <w:t>5</w:t>
            </w:r>
          </w:p>
        </w:tc>
        <w:tc>
          <w:tcPr>
            <w:tcW w:w="1094" w:type="dxa"/>
            <w:noWrap/>
            <w:hideMark/>
          </w:tcPr>
          <w:p w14:paraId="7D889B14"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lang w:eastAsia="en-AU"/>
              </w:rPr>
            </w:pPr>
            <w:r w:rsidRPr="00AC5180">
              <w:rPr>
                <w:lang w:eastAsia="en-AU"/>
              </w:rPr>
              <w:t>84</w:t>
            </w:r>
          </w:p>
        </w:tc>
        <w:tc>
          <w:tcPr>
            <w:tcW w:w="1008" w:type="dxa"/>
            <w:noWrap/>
            <w:hideMark/>
          </w:tcPr>
          <w:p w14:paraId="7CB2477F"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lang w:eastAsia="en-AU"/>
              </w:rPr>
            </w:pPr>
            <w:r w:rsidRPr="00AC5180">
              <w:rPr>
                <w:lang w:eastAsia="en-AU"/>
              </w:rPr>
              <w:t>15.0%</w:t>
            </w:r>
          </w:p>
        </w:tc>
      </w:tr>
      <w:tr w:rsidR="00B21EAA" w:rsidRPr="00AC5180" w14:paraId="51066ABD" w14:textId="77777777" w:rsidTr="00802453">
        <w:trPr>
          <w:trHeight w:val="300"/>
          <w:jc w:val="center"/>
        </w:trPr>
        <w:tc>
          <w:tcPr>
            <w:cnfStyle w:val="001000000000" w:firstRow="0" w:lastRow="0" w:firstColumn="1" w:lastColumn="0" w:oddVBand="0" w:evenVBand="0" w:oddHBand="0" w:evenHBand="0" w:firstRowFirstColumn="0" w:firstRowLastColumn="0" w:lastRowFirstColumn="0" w:lastRowLastColumn="0"/>
            <w:tcW w:w="1215" w:type="dxa"/>
            <w:noWrap/>
            <w:hideMark/>
          </w:tcPr>
          <w:p w14:paraId="35BC0914" w14:textId="77777777" w:rsidR="00B21EAA" w:rsidRPr="00AC5180" w:rsidRDefault="00B21EAA" w:rsidP="00802453">
            <w:pPr>
              <w:pStyle w:val="TableCopy"/>
              <w:keepNext/>
              <w:rPr>
                <w:lang w:eastAsia="en-AU"/>
              </w:rPr>
            </w:pPr>
            <w:r w:rsidRPr="00AC5180">
              <w:rPr>
                <w:lang w:eastAsia="en-AU"/>
              </w:rPr>
              <w:t>6</w:t>
            </w:r>
          </w:p>
        </w:tc>
        <w:tc>
          <w:tcPr>
            <w:tcW w:w="1094" w:type="dxa"/>
            <w:noWrap/>
            <w:hideMark/>
          </w:tcPr>
          <w:p w14:paraId="09B514BE"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lang w:eastAsia="en-AU"/>
              </w:rPr>
            </w:pPr>
            <w:r w:rsidRPr="00AC5180">
              <w:rPr>
                <w:lang w:eastAsia="en-AU"/>
              </w:rPr>
              <w:t>46</w:t>
            </w:r>
          </w:p>
        </w:tc>
        <w:tc>
          <w:tcPr>
            <w:tcW w:w="1008" w:type="dxa"/>
            <w:noWrap/>
            <w:hideMark/>
          </w:tcPr>
          <w:p w14:paraId="02E973A6"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lang w:eastAsia="en-AU"/>
              </w:rPr>
            </w:pPr>
            <w:r w:rsidRPr="00AC5180">
              <w:rPr>
                <w:lang w:eastAsia="en-AU"/>
              </w:rPr>
              <w:t>8.2%</w:t>
            </w:r>
          </w:p>
        </w:tc>
      </w:tr>
      <w:tr w:rsidR="00B21EAA" w:rsidRPr="00AC5180" w14:paraId="1451F1E2" w14:textId="77777777" w:rsidTr="00802453">
        <w:trPr>
          <w:trHeight w:val="300"/>
          <w:jc w:val="center"/>
        </w:trPr>
        <w:tc>
          <w:tcPr>
            <w:cnfStyle w:val="001000000000" w:firstRow="0" w:lastRow="0" w:firstColumn="1" w:lastColumn="0" w:oddVBand="0" w:evenVBand="0" w:oddHBand="0" w:evenHBand="0" w:firstRowFirstColumn="0" w:firstRowLastColumn="0" w:lastRowFirstColumn="0" w:lastRowLastColumn="0"/>
            <w:tcW w:w="1215" w:type="dxa"/>
            <w:noWrap/>
            <w:hideMark/>
          </w:tcPr>
          <w:p w14:paraId="7E39C0C8" w14:textId="77777777" w:rsidR="00B21EAA" w:rsidRPr="00AC5180" w:rsidRDefault="00B21EAA" w:rsidP="00802453">
            <w:pPr>
              <w:pStyle w:val="TableCopy"/>
              <w:keepNext/>
              <w:rPr>
                <w:lang w:eastAsia="en-AU"/>
              </w:rPr>
            </w:pPr>
            <w:r w:rsidRPr="00AC5180">
              <w:rPr>
                <w:lang w:eastAsia="en-AU"/>
              </w:rPr>
              <w:t>Grand Total</w:t>
            </w:r>
          </w:p>
        </w:tc>
        <w:tc>
          <w:tcPr>
            <w:tcW w:w="1094" w:type="dxa"/>
            <w:noWrap/>
            <w:hideMark/>
          </w:tcPr>
          <w:p w14:paraId="08A5AD9F"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lang w:eastAsia="en-AU"/>
              </w:rPr>
            </w:pPr>
            <w:r w:rsidRPr="00AC5180">
              <w:rPr>
                <w:lang w:eastAsia="en-AU"/>
              </w:rPr>
              <w:t>559</w:t>
            </w:r>
          </w:p>
        </w:tc>
        <w:tc>
          <w:tcPr>
            <w:tcW w:w="1008" w:type="dxa"/>
            <w:noWrap/>
            <w:hideMark/>
          </w:tcPr>
          <w:p w14:paraId="57027511"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lang w:eastAsia="en-AU"/>
              </w:rPr>
            </w:pPr>
            <w:r w:rsidRPr="00AC5180">
              <w:rPr>
                <w:lang w:eastAsia="en-AU"/>
              </w:rPr>
              <w:t>100.0%</w:t>
            </w:r>
          </w:p>
        </w:tc>
      </w:tr>
    </w:tbl>
    <w:p w14:paraId="26B92360" w14:textId="77777777" w:rsidR="00B21EAA" w:rsidRDefault="00B21EAA" w:rsidP="00B21EAA">
      <w:pPr>
        <w:pStyle w:val="TableNotes"/>
      </w:pPr>
      <w:r>
        <w:t>*</w:t>
      </w:r>
      <w:proofErr w:type="spellStart"/>
      <w:r>
        <w:t>PhARIA</w:t>
      </w:r>
      <w:proofErr w:type="spellEnd"/>
      <w:r>
        <w:t xml:space="preserve"> 0 was allocated to a small percentage of RITA allowances in the program data. </w:t>
      </w:r>
      <w:proofErr w:type="spellStart"/>
      <w:r>
        <w:t>PhARIA</w:t>
      </w:r>
      <w:proofErr w:type="spellEnd"/>
      <w:r>
        <w:t xml:space="preserve"> 1 is for places with an exemption e.g. Geraldton in WA. </w:t>
      </w:r>
    </w:p>
    <w:p w14:paraId="278EDD2A" w14:textId="54DEA105" w:rsidR="00B21EAA" w:rsidRPr="00FF2861" w:rsidRDefault="00B21EAA" w:rsidP="00B21EAA">
      <w:pPr>
        <w:pStyle w:val="Caption"/>
        <w:rPr>
          <w:rStyle w:val="Captionnotbold"/>
        </w:rPr>
      </w:pPr>
      <w:bookmarkStart w:id="28" w:name="_Ref487538894"/>
      <w:r>
        <w:lastRenderedPageBreak/>
        <w:t xml:space="preserve">Figure </w:t>
      </w:r>
      <w:r w:rsidR="00BC6E6C">
        <w:rPr>
          <w:noProof/>
        </w:rPr>
        <w:fldChar w:fldCharType="begin"/>
      </w:r>
      <w:r w:rsidR="00BC6E6C">
        <w:rPr>
          <w:noProof/>
        </w:rPr>
        <w:instrText xml:space="preserve"> STYLEREF 1 \s </w:instrText>
      </w:r>
      <w:r w:rsidR="00BC6E6C">
        <w:rPr>
          <w:noProof/>
        </w:rPr>
        <w:fldChar w:fldCharType="separate"/>
      </w:r>
      <w:r w:rsidR="00910E65">
        <w:rPr>
          <w:noProof/>
        </w:rPr>
        <w:t>2</w:t>
      </w:r>
      <w:r w:rsidR="00BC6E6C">
        <w:rPr>
          <w:noProof/>
        </w:rPr>
        <w:fldChar w:fldCharType="end"/>
      </w:r>
      <w:r w:rsidR="00181D4C">
        <w:t>.</w:t>
      </w:r>
      <w:r w:rsidR="00BC6E6C">
        <w:rPr>
          <w:noProof/>
        </w:rPr>
        <w:fldChar w:fldCharType="begin"/>
      </w:r>
      <w:r w:rsidR="00BC6E6C">
        <w:rPr>
          <w:noProof/>
        </w:rPr>
        <w:instrText xml:space="preserve"> SEQ Figure \* ARABIC \s 1 </w:instrText>
      </w:r>
      <w:r w:rsidR="00BC6E6C">
        <w:rPr>
          <w:noProof/>
        </w:rPr>
        <w:fldChar w:fldCharType="separate"/>
      </w:r>
      <w:r w:rsidR="00910E65">
        <w:rPr>
          <w:noProof/>
        </w:rPr>
        <w:t>1</w:t>
      </w:r>
      <w:r w:rsidR="00BC6E6C">
        <w:rPr>
          <w:noProof/>
        </w:rPr>
        <w:fldChar w:fldCharType="end"/>
      </w:r>
      <w:bookmarkEnd w:id="28"/>
      <w:r>
        <w:t xml:space="preserve">: </w:t>
      </w:r>
      <w:r w:rsidRPr="00FF2861">
        <w:rPr>
          <w:rStyle w:val="Captionnotbold"/>
        </w:rPr>
        <w:t xml:space="preserve">RITA volume by </w:t>
      </w:r>
      <w:proofErr w:type="spellStart"/>
      <w:r w:rsidRPr="00FF2861">
        <w:rPr>
          <w:rStyle w:val="Captionnotbold"/>
        </w:rPr>
        <w:t>PhARIA</w:t>
      </w:r>
      <w:proofErr w:type="spellEnd"/>
      <w:r w:rsidRPr="00FF2861">
        <w:rPr>
          <w:rStyle w:val="Captionnotbold"/>
        </w:rPr>
        <w:t xml:space="preserve"> of intern placement, 2013 to 2015 </w:t>
      </w:r>
    </w:p>
    <w:p w14:paraId="2EC74C15" w14:textId="77777777" w:rsidR="00B21EAA" w:rsidRDefault="00B21EAA" w:rsidP="00B21EAA">
      <w:pPr>
        <w:pStyle w:val="BodyCopy"/>
      </w:pPr>
      <w:r w:rsidRPr="00FF2861">
        <w:rPr>
          <w:noProof/>
          <w:lang w:eastAsia="en-AU"/>
        </w:rPr>
        <w:drawing>
          <wp:inline distT="0" distB="0" distL="0" distR="0" wp14:anchorId="3F5E591C" wp14:editId="232D84B8">
            <wp:extent cx="4472940" cy="2683764"/>
            <wp:effectExtent l="0" t="0" r="3810" b="2540"/>
            <wp:docPr id="70" name="Picture 70" descr="Figure 2.1 Bar graph showing RITA volume by PhARIA of intern placement, 2013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72940" cy="2683764"/>
                    </a:xfrm>
                    <a:prstGeom prst="rect">
                      <a:avLst/>
                    </a:prstGeom>
                    <a:noFill/>
                    <a:ln>
                      <a:noFill/>
                    </a:ln>
                  </pic:spPr>
                </pic:pic>
              </a:graphicData>
            </a:graphic>
          </wp:inline>
        </w:drawing>
      </w:r>
    </w:p>
    <w:p w14:paraId="2EBE8178" w14:textId="0BF41DF8" w:rsidR="00B21EAA" w:rsidRDefault="00B21EAA" w:rsidP="00B21EAA">
      <w:pPr>
        <w:pStyle w:val="BodyCopy"/>
      </w:pPr>
      <w:r>
        <w:t xml:space="preserve">The average amount of the RITA allowance increased in correlation with increasing </w:t>
      </w:r>
      <w:proofErr w:type="spellStart"/>
      <w:r>
        <w:t>PhARIA</w:t>
      </w:r>
      <w:proofErr w:type="spellEnd"/>
      <w:r>
        <w:t xml:space="preserve"> classification. This reflects the increased costs of travel associated with these more remote locations. See </w:t>
      </w:r>
      <w:r>
        <w:fldChar w:fldCharType="begin"/>
      </w:r>
      <w:r>
        <w:instrText xml:space="preserve"> REF _Ref487539349 \h </w:instrText>
      </w:r>
      <w:r>
        <w:fldChar w:fldCharType="separate"/>
      </w:r>
      <w:r w:rsidR="00910E65">
        <w:t xml:space="preserve">Table </w:t>
      </w:r>
      <w:r w:rsidR="00910E65">
        <w:rPr>
          <w:noProof/>
        </w:rPr>
        <w:t>2</w:t>
      </w:r>
      <w:r w:rsidR="00910E65">
        <w:t>.</w:t>
      </w:r>
      <w:r w:rsidR="00910E65">
        <w:rPr>
          <w:noProof/>
        </w:rPr>
        <w:t>4</w:t>
      </w:r>
      <w:r>
        <w:fldChar w:fldCharType="end"/>
      </w:r>
      <w:r>
        <w:t xml:space="preserve"> and </w:t>
      </w:r>
      <w:r>
        <w:fldChar w:fldCharType="begin"/>
      </w:r>
      <w:r>
        <w:instrText xml:space="preserve"> REF _Ref487539202 \h </w:instrText>
      </w:r>
      <w:r>
        <w:fldChar w:fldCharType="separate"/>
      </w:r>
      <w:r w:rsidR="00910E65">
        <w:t xml:space="preserve">Figure </w:t>
      </w:r>
      <w:r w:rsidR="00910E65">
        <w:rPr>
          <w:noProof/>
        </w:rPr>
        <w:t>2</w:t>
      </w:r>
      <w:r w:rsidR="00910E65">
        <w:t>.</w:t>
      </w:r>
      <w:r w:rsidR="00910E65">
        <w:rPr>
          <w:noProof/>
        </w:rPr>
        <w:t>2</w:t>
      </w:r>
      <w:r>
        <w:fldChar w:fldCharType="end"/>
      </w:r>
      <w:r>
        <w:t xml:space="preserve">. </w:t>
      </w:r>
    </w:p>
    <w:p w14:paraId="5D79A924" w14:textId="65F7FD43" w:rsidR="00B21EAA" w:rsidRPr="00AC5180" w:rsidRDefault="00B21EAA" w:rsidP="00B21EAA">
      <w:pPr>
        <w:pStyle w:val="Caption"/>
        <w:rPr>
          <w:rStyle w:val="Captionnotbold"/>
        </w:rPr>
      </w:pPr>
      <w:bookmarkStart w:id="29" w:name="_Ref487539349"/>
      <w:r>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2</w:t>
      </w:r>
      <w:r w:rsidR="00BC6E6C">
        <w:rPr>
          <w:noProof/>
        </w:rPr>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4</w:t>
      </w:r>
      <w:r w:rsidR="00BC6E6C">
        <w:rPr>
          <w:noProof/>
        </w:rPr>
        <w:fldChar w:fldCharType="end"/>
      </w:r>
      <w:bookmarkEnd w:id="29"/>
      <w:r>
        <w:t xml:space="preserve">: </w:t>
      </w:r>
      <w:r w:rsidRPr="00AC5180">
        <w:rPr>
          <w:rStyle w:val="Captionnotbold"/>
        </w:rPr>
        <w:t xml:space="preserve">Average RITA amount ($) by </w:t>
      </w:r>
      <w:proofErr w:type="spellStart"/>
      <w:r w:rsidRPr="00AC5180">
        <w:rPr>
          <w:rStyle w:val="Captionnotbold"/>
        </w:rPr>
        <w:t>PhARIA</w:t>
      </w:r>
      <w:proofErr w:type="spellEnd"/>
      <w:r w:rsidR="00727D63">
        <w:rPr>
          <w:rStyle w:val="Captionnotbold"/>
        </w:rPr>
        <w:t>,</w:t>
      </w:r>
      <w:r w:rsidRPr="00AC5180">
        <w:rPr>
          <w:rStyle w:val="Captionnotbold"/>
        </w:rPr>
        <w:t xml:space="preserve"> 2013 to 2015</w:t>
      </w:r>
    </w:p>
    <w:tbl>
      <w:tblPr>
        <w:tblStyle w:val="HMATable"/>
        <w:tblW w:w="3826" w:type="pct"/>
        <w:jc w:val="center"/>
        <w:tblLook w:val="04E0" w:firstRow="1" w:lastRow="1" w:firstColumn="1" w:lastColumn="0" w:noHBand="0" w:noVBand="1"/>
        <w:tblCaption w:val="Table 2.4: Average RITA amount ($) by PhARIA, 2013 to 2015"/>
        <w:tblDescription w:val="Table 2.4: Average RITA amount ($) by PhARIA, 2013 to 2015"/>
      </w:tblPr>
      <w:tblGrid>
        <w:gridCol w:w="1641"/>
        <w:gridCol w:w="3742"/>
      </w:tblGrid>
      <w:tr w:rsidR="00B21EAA" w:rsidRPr="008A30B7" w14:paraId="697A969F" w14:textId="77777777" w:rsidTr="00742880">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100" w:firstRow="0" w:lastRow="0" w:firstColumn="1" w:lastColumn="0" w:oddVBand="0" w:evenVBand="0" w:oddHBand="0" w:evenHBand="0" w:firstRowFirstColumn="1" w:firstRowLastColumn="0" w:lastRowFirstColumn="0" w:lastRowLastColumn="0"/>
            <w:tcW w:w="1524" w:type="pct"/>
            <w:noWrap/>
            <w:hideMark/>
          </w:tcPr>
          <w:p w14:paraId="1F5AAE09" w14:textId="77777777" w:rsidR="00B21EAA" w:rsidRPr="008A30B7" w:rsidRDefault="00B21EAA" w:rsidP="00802453">
            <w:pPr>
              <w:pStyle w:val="TableColumnHeading"/>
              <w:rPr>
                <w:lang w:eastAsia="en-AU"/>
              </w:rPr>
            </w:pPr>
            <w:proofErr w:type="spellStart"/>
            <w:r>
              <w:rPr>
                <w:lang w:eastAsia="en-AU"/>
              </w:rPr>
              <w:t>PhARIA</w:t>
            </w:r>
            <w:proofErr w:type="spellEnd"/>
          </w:p>
        </w:tc>
        <w:tc>
          <w:tcPr>
            <w:tcW w:w="3476" w:type="pct"/>
            <w:noWrap/>
            <w:hideMark/>
          </w:tcPr>
          <w:p w14:paraId="74D34E95" w14:textId="77777777" w:rsidR="00B21EAA" w:rsidRPr="008A30B7" w:rsidRDefault="00B21EAA" w:rsidP="00802453">
            <w:pPr>
              <w:pStyle w:val="TableColumnHeading"/>
              <w:jc w:val="center"/>
              <w:cnfStyle w:val="100000000000" w:firstRow="1" w:lastRow="0" w:firstColumn="0" w:lastColumn="0" w:oddVBand="0" w:evenVBand="0" w:oddHBand="0" w:evenHBand="0" w:firstRowFirstColumn="0" w:firstRowLastColumn="0" w:lastRowFirstColumn="0" w:lastRowLastColumn="0"/>
              <w:rPr>
                <w:lang w:eastAsia="en-AU"/>
              </w:rPr>
            </w:pPr>
            <w:r w:rsidRPr="008A30B7">
              <w:rPr>
                <w:lang w:eastAsia="en-AU"/>
              </w:rPr>
              <w:t>Average RITA allowance (</w:t>
            </w:r>
            <w:r w:rsidRPr="008A30B7">
              <w:rPr>
                <w:rFonts w:ascii="Times New Roman" w:hAnsi="Times New Roman"/>
                <w:lang w:eastAsia="en-AU"/>
              </w:rPr>
              <w:t>$</w:t>
            </w:r>
            <w:r w:rsidRPr="008A30B7">
              <w:rPr>
                <w:lang w:eastAsia="en-AU"/>
              </w:rPr>
              <w:t>)</w:t>
            </w:r>
          </w:p>
        </w:tc>
      </w:tr>
      <w:tr w:rsidR="00B21EAA" w:rsidRPr="008A30B7" w14:paraId="374D91EF" w14:textId="77777777" w:rsidTr="00802453">
        <w:trPr>
          <w:trHeight w:val="300"/>
          <w:jc w:val="center"/>
        </w:trPr>
        <w:tc>
          <w:tcPr>
            <w:cnfStyle w:val="001000000000" w:firstRow="0" w:lastRow="0" w:firstColumn="1" w:lastColumn="0" w:oddVBand="0" w:evenVBand="0" w:oddHBand="0" w:evenHBand="0" w:firstRowFirstColumn="0" w:firstRowLastColumn="0" w:lastRowFirstColumn="0" w:lastRowLastColumn="0"/>
            <w:tcW w:w="1524" w:type="pct"/>
            <w:noWrap/>
            <w:hideMark/>
          </w:tcPr>
          <w:p w14:paraId="1EF15291" w14:textId="77777777" w:rsidR="00B21EAA" w:rsidRPr="008A30B7" w:rsidRDefault="00B21EAA" w:rsidP="00802453">
            <w:pPr>
              <w:pStyle w:val="TableCopy"/>
              <w:rPr>
                <w:lang w:eastAsia="en-AU"/>
              </w:rPr>
            </w:pPr>
            <w:r w:rsidRPr="008A30B7">
              <w:rPr>
                <w:lang w:eastAsia="en-AU"/>
              </w:rPr>
              <w:t>0</w:t>
            </w:r>
          </w:p>
        </w:tc>
        <w:tc>
          <w:tcPr>
            <w:tcW w:w="3476" w:type="pct"/>
            <w:noWrap/>
            <w:hideMark/>
          </w:tcPr>
          <w:p w14:paraId="2AF9415F" w14:textId="77777777" w:rsidR="00B21EAA" w:rsidRPr="008A30B7" w:rsidRDefault="00B21EAA" w:rsidP="00802453">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8A30B7">
              <w:rPr>
                <w:lang w:eastAsia="en-AU"/>
              </w:rPr>
              <w:t>437</w:t>
            </w:r>
          </w:p>
        </w:tc>
      </w:tr>
      <w:tr w:rsidR="00B21EAA" w:rsidRPr="008A30B7" w14:paraId="6B0A51EC" w14:textId="77777777" w:rsidTr="00802453">
        <w:trPr>
          <w:trHeight w:val="300"/>
          <w:jc w:val="center"/>
        </w:trPr>
        <w:tc>
          <w:tcPr>
            <w:cnfStyle w:val="001000000000" w:firstRow="0" w:lastRow="0" w:firstColumn="1" w:lastColumn="0" w:oddVBand="0" w:evenVBand="0" w:oddHBand="0" w:evenHBand="0" w:firstRowFirstColumn="0" w:firstRowLastColumn="0" w:lastRowFirstColumn="0" w:lastRowLastColumn="0"/>
            <w:tcW w:w="1524" w:type="pct"/>
            <w:noWrap/>
            <w:hideMark/>
          </w:tcPr>
          <w:p w14:paraId="35E44F0C" w14:textId="77777777" w:rsidR="00B21EAA" w:rsidRPr="008A30B7" w:rsidRDefault="00B21EAA" w:rsidP="00802453">
            <w:pPr>
              <w:pStyle w:val="TableCopy"/>
              <w:rPr>
                <w:lang w:eastAsia="en-AU"/>
              </w:rPr>
            </w:pPr>
            <w:r w:rsidRPr="008A30B7">
              <w:rPr>
                <w:lang w:eastAsia="en-AU"/>
              </w:rPr>
              <w:t>1</w:t>
            </w:r>
          </w:p>
        </w:tc>
        <w:tc>
          <w:tcPr>
            <w:tcW w:w="3476" w:type="pct"/>
            <w:noWrap/>
            <w:hideMark/>
          </w:tcPr>
          <w:p w14:paraId="12B9554E" w14:textId="77777777" w:rsidR="00B21EAA" w:rsidRPr="008A30B7" w:rsidRDefault="00B21EAA" w:rsidP="00802453">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8A30B7">
              <w:rPr>
                <w:lang w:eastAsia="en-AU"/>
              </w:rPr>
              <w:t>381</w:t>
            </w:r>
          </w:p>
        </w:tc>
      </w:tr>
      <w:tr w:rsidR="00B21EAA" w:rsidRPr="008A30B7" w14:paraId="2BC0C705" w14:textId="77777777" w:rsidTr="00802453">
        <w:trPr>
          <w:trHeight w:val="300"/>
          <w:jc w:val="center"/>
        </w:trPr>
        <w:tc>
          <w:tcPr>
            <w:cnfStyle w:val="001000000000" w:firstRow="0" w:lastRow="0" w:firstColumn="1" w:lastColumn="0" w:oddVBand="0" w:evenVBand="0" w:oddHBand="0" w:evenHBand="0" w:firstRowFirstColumn="0" w:firstRowLastColumn="0" w:lastRowFirstColumn="0" w:lastRowLastColumn="0"/>
            <w:tcW w:w="1524" w:type="pct"/>
            <w:noWrap/>
            <w:hideMark/>
          </w:tcPr>
          <w:p w14:paraId="05F5BA9B" w14:textId="77777777" w:rsidR="00B21EAA" w:rsidRPr="008A30B7" w:rsidRDefault="00B21EAA" w:rsidP="00802453">
            <w:pPr>
              <w:pStyle w:val="TableCopy"/>
              <w:rPr>
                <w:lang w:eastAsia="en-AU"/>
              </w:rPr>
            </w:pPr>
            <w:r w:rsidRPr="008A30B7">
              <w:rPr>
                <w:lang w:eastAsia="en-AU"/>
              </w:rPr>
              <w:t>2</w:t>
            </w:r>
          </w:p>
        </w:tc>
        <w:tc>
          <w:tcPr>
            <w:tcW w:w="3476" w:type="pct"/>
            <w:noWrap/>
            <w:hideMark/>
          </w:tcPr>
          <w:p w14:paraId="3F048721" w14:textId="77777777" w:rsidR="00B21EAA" w:rsidRPr="008A30B7" w:rsidRDefault="00B21EAA" w:rsidP="00802453">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8A30B7">
              <w:rPr>
                <w:lang w:eastAsia="en-AU"/>
              </w:rPr>
              <w:t>420</w:t>
            </w:r>
          </w:p>
        </w:tc>
      </w:tr>
      <w:tr w:rsidR="00B21EAA" w:rsidRPr="008A30B7" w14:paraId="219CF2F6" w14:textId="77777777" w:rsidTr="00802453">
        <w:trPr>
          <w:trHeight w:val="300"/>
          <w:jc w:val="center"/>
        </w:trPr>
        <w:tc>
          <w:tcPr>
            <w:cnfStyle w:val="001000000000" w:firstRow="0" w:lastRow="0" w:firstColumn="1" w:lastColumn="0" w:oddVBand="0" w:evenVBand="0" w:oddHBand="0" w:evenHBand="0" w:firstRowFirstColumn="0" w:firstRowLastColumn="0" w:lastRowFirstColumn="0" w:lastRowLastColumn="0"/>
            <w:tcW w:w="1524" w:type="pct"/>
            <w:noWrap/>
            <w:hideMark/>
          </w:tcPr>
          <w:p w14:paraId="1D9FCFFA" w14:textId="77777777" w:rsidR="00B21EAA" w:rsidRPr="008A30B7" w:rsidRDefault="00B21EAA" w:rsidP="00802453">
            <w:pPr>
              <w:pStyle w:val="TableCopy"/>
              <w:rPr>
                <w:lang w:eastAsia="en-AU"/>
              </w:rPr>
            </w:pPr>
            <w:r w:rsidRPr="008A30B7">
              <w:rPr>
                <w:lang w:eastAsia="en-AU"/>
              </w:rPr>
              <w:t>3</w:t>
            </w:r>
          </w:p>
        </w:tc>
        <w:tc>
          <w:tcPr>
            <w:tcW w:w="3476" w:type="pct"/>
            <w:noWrap/>
            <w:hideMark/>
          </w:tcPr>
          <w:p w14:paraId="16FA7666" w14:textId="77777777" w:rsidR="00B21EAA" w:rsidRPr="008A30B7" w:rsidRDefault="00B21EAA" w:rsidP="00802453">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8A30B7">
              <w:rPr>
                <w:lang w:eastAsia="en-AU"/>
              </w:rPr>
              <w:t>378</w:t>
            </w:r>
          </w:p>
        </w:tc>
      </w:tr>
      <w:tr w:rsidR="00B21EAA" w:rsidRPr="008A30B7" w14:paraId="3A3DE25C" w14:textId="77777777" w:rsidTr="00802453">
        <w:trPr>
          <w:trHeight w:val="300"/>
          <w:jc w:val="center"/>
        </w:trPr>
        <w:tc>
          <w:tcPr>
            <w:cnfStyle w:val="001000000000" w:firstRow="0" w:lastRow="0" w:firstColumn="1" w:lastColumn="0" w:oddVBand="0" w:evenVBand="0" w:oddHBand="0" w:evenHBand="0" w:firstRowFirstColumn="0" w:firstRowLastColumn="0" w:lastRowFirstColumn="0" w:lastRowLastColumn="0"/>
            <w:tcW w:w="1524" w:type="pct"/>
            <w:noWrap/>
            <w:hideMark/>
          </w:tcPr>
          <w:p w14:paraId="1D217AEC" w14:textId="77777777" w:rsidR="00B21EAA" w:rsidRPr="008A30B7" w:rsidRDefault="00B21EAA" w:rsidP="00802453">
            <w:pPr>
              <w:pStyle w:val="TableCopy"/>
              <w:rPr>
                <w:lang w:eastAsia="en-AU"/>
              </w:rPr>
            </w:pPr>
            <w:r w:rsidRPr="008A30B7">
              <w:rPr>
                <w:lang w:eastAsia="en-AU"/>
              </w:rPr>
              <w:t>4</w:t>
            </w:r>
          </w:p>
        </w:tc>
        <w:tc>
          <w:tcPr>
            <w:tcW w:w="3476" w:type="pct"/>
            <w:noWrap/>
            <w:hideMark/>
          </w:tcPr>
          <w:p w14:paraId="28756203" w14:textId="77777777" w:rsidR="00B21EAA" w:rsidRPr="008A30B7" w:rsidRDefault="00B21EAA" w:rsidP="00802453">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8A30B7">
              <w:rPr>
                <w:lang w:eastAsia="en-AU"/>
              </w:rPr>
              <w:t>457</w:t>
            </w:r>
          </w:p>
        </w:tc>
      </w:tr>
      <w:tr w:rsidR="00B21EAA" w:rsidRPr="008A30B7" w14:paraId="0AC791E2" w14:textId="77777777" w:rsidTr="00802453">
        <w:trPr>
          <w:trHeight w:val="300"/>
          <w:jc w:val="center"/>
        </w:trPr>
        <w:tc>
          <w:tcPr>
            <w:cnfStyle w:val="001000000000" w:firstRow="0" w:lastRow="0" w:firstColumn="1" w:lastColumn="0" w:oddVBand="0" w:evenVBand="0" w:oddHBand="0" w:evenHBand="0" w:firstRowFirstColumn="0" w:firstRowLastColumn="0" w:lastRowFirstColumn="0" w:lastRowLastColumn="0"/>
            <w:tcW w:w="1524" w:type="pct"/>
            <w:noWrap/>
            <w:hideMark/>
          </w:tcPr>
          <w:p w14:paraId="7321B205" w14:textId="77777777" w:rsidR="00B21EAA" w:rsidRPr="008A30B7" w:rsidRDefault="00B21EAA" w:rsidP="00802453">
            <w:pPr>
              <w:pStyle w:val="TableCopy"/>
              <w:rPr>
                <w:lang w:eastAsia="en-AU"/>
              </w:rPr>
            </w:pPr>
            <w:r w:rsidRPr="008A30B7">
              <w:rPr>
                <w:lang w:eastAsia="en-AU"/>
              </w:rPr>
              <w:t>5</w:t>
            </w:r>
          </w:p>
        </w:tc>
        <w:tc>
          <w:tcPr>
            <w:tcW w:w="3476" w:type="pct"/>
            <w:noWrap/>
            <w:hideMark/>
          </w:tcPr>
          <w:p w14:paraId="6EB75868" w14:textId="77777777" w:rsidR="00B21EAA" w:rsidRPr="008A30B7" w:rsidRDefault="00B21EAA" w:rsidP="00802453">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8A30B7">
              <w:rPr>
                <w:lang w:eastAsia="en-AU"/>
              </w:rPr>
              <w:t>576</w:t>
            </w:r>
          </w:p>
        </w:tc>
      </w:tr>
      <w:tr w:rsidR="00B21EAA" w:rsidRPr="008A30B7" w14:paraId="637A95F4" w14:textId="77777777" w:rsidTr="00802453">
        <w:trPr>
          <w:trHeight w:val="300"/>
          <w:jc w:val="center"/>
        </w:trPr>
        <w:tc>
          <w:tcPr>
            <w:cnfStyle w:val="001000000000" w:firstRow="0" w:lastRow="0" w:firstColumn="1" w:lastColumn="0" w:oddVBand="0" w:evenVBand="0" w:oddHBand="0" w:evenHBand="0" w:firstRowFirstColumn="0" w:firstRowLastColumn="0" w:lastRowFirstColumn="0" w:lastRowLastColumn="0"/>
            <w:tcW w:w="1524" w:type="pct"/>
            <w:noWrap/>
            <w:hideMark/>
          </w:tcPr>
          <w:p w14:paraId="25344792" w14:textId="77777777" w:rsidR="00B21EAA" w:rsidRPr="008A30B7" w:rsidRDefault="00B21EAA" w:rsidP="00802453">
            <w:pPr>
              <w:pStyle w:val="TableCopy"/>
              <w:rPr>
                <w:lang w:eastAsia="en-AU"/>
              </w:rPr>
            </w:pPr>
            <w:r w:rsidRPr="008A30B7">
              <w:rPr>
                <w:lang w:eastAsia="en-AU"/>
              </w:rPr>
              <w:t>6</w:t>
            </w:r>
          </w:p>
        </w:tc>
        <w:tc>
          <w:tcPr>
            <w:tcW w:w="3476" w:type="pct"/>
            <w:noWrap/>
            <w:hideMark/>
          </w:tcPr>
          <w:p w14:paraId="61AA75EB" w14:textId="77777777" w:rsidR="00B21EAA" w:rsidRPr="008A30B7" w:rsidRDefault="00B21EAA" w:rsidP="00802453">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8A30B7">
              <w:rPr>
                <w:lang w:eastAsia="en-AU"/>
              </w:rPr>
              <w:t>634</w:t>
            </w:r>
          </w:p>
        </w:tc>
      </w:tr>
      <w:tr w:rsidR="00B21EAA" w:rsidRPr="008A30B7" w14:paraId="3935F0DE" w14:textId="77777777" w:rsidTr="00802453">
        <w:trPr>
          <w:cnfStyle w:val="010000000000" w:firstRow="0" w:lastRow="1"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24" w:type="pct"/>
            <w:noWrap/>
            <w:hideMark/>
          </w:tcPr>
          <w:p w14:paraId="70D7ACD2" w14:textId="77777777" w:rsidR="00B21EAA" w:rsidRPr="008A30B7" w:rsidRDefault="00B21EAA" w:rsidP="00802453">
            <w:pPr>
              <w:pStyle w:val="TableCopy"/>
              <w:rPr>
                <w:lang w:eastAsia="en-AU"/>
              </w:rPr>
            </w:pPr>
            <w:r w:rsidRPr="008A30B7">
              <w:rPr>
                <w:lang w:eastAsia="en-AU"/>
              </w:rPr>
              <w:t>Total</w:t>
            </w:r>
          </w:p>
        </w:tc>
        <w:tc>
          <w:tcPr>
            <w:tcW w:w="3476" w:type="pct"/>
            <w:noWrap/>
            <w:hideMark/>
          </w:tcPr>
          <w:p w14:paraId="1D0DE5CF" w14:textId="65367DC9" w:rsidR="00B21EAA" w:rsidRPr="008A30B7" w:rsidRDefault="00B21EAA" w:rsidP="00802453">
            <w:pPr>
              <w:pStyle w:val="TableCopy"/>
              <w:jc w:val="center"/>
              <w:cnfStyle w:val="010000000000" w:firstRow="0" w:lastRow="1"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00181D4C">
              <w:rPr>
                <w:lang w:eastAsia="en-AU"/>
              </w:rPr>
              <w:t>469</w:t>
            </w:r>
          </w:p>
        </w:tc>
      </w:tr>
    </w:tbl>
    <w:p w14:paraId="6566571A" w14:textId="074E667A" w:rsidR="00B21EAA" w:rsidRPr="00AC5180" w:rsidRDefault="00B21EAA" w:rsidP="00B21EAA">
      <w:pPr>
        <w:pStyle w:val="Caption"/>
        <w:rPr>
          <w:rStyle w:val="Captionnotbold"/>
        </w:rPr>
      </w:pPr>
      <w:bookmarkStart w:id="30" w:name="_Ref487539202"/>
      <w:r>
        <w:t xml:space="preserve">Figure </w:t>
      </w:r>
      <w:r w:rsidR="00BC6E6C">
        <w:rPr>
          <w:noProof/>
        </w:rPr>
        <w:fldChar w:fldCharType="begin"/>
      </w:r>
      <w:r w:rsidR="00BC6E6C">
        <w:rPr>
          <w:noProof/>
        </w:rPr>
        <w:instrText xml:space="preserve"> STYLEREF 1 \s </w:instrText>
      </w:r>
      <w:r w:rsidR="00BC6E6C">
        <w:rPr>
          <w:noProof/>
        </w:rPr>
        <w:fldChar w:fldCharType="separate"/>
      </w:r>
      <w:r w:rsidR="00910E65">
        <w:rPr>
          <w:noProof/>
        </w:rPr>
        <w:t>2</w:t>
      </w:r>
      <w:r w:rsidR="00BC6E6C">
        <w:rPr>
          <w:noProof/>
        </w:rPr>
        <w:fldChar w:fldCharType="end"/>
      </w:r>
      <w:r w:rsidR="00181D4C">
        <w:t>.</w:t>
      </w:r>
      <w:r w:rsidR="00BC6E6C">
        <w:rPr>
          <w:noProof/>
        </w:rPr>
        <w:fldChar w:fldCharType="begin"/>
      </w:r>
      <w:r w:rsidR="00BC6E6C">
        <w:rPr>
          <w:noProof/>
        </w:rPr>
        <w:instrText xml:space="preserve"> SEQ Figure \* ARABIC \s 1 </w:instrText>
      </w:r>
      <w:r w:rsidR="00BC6E6C">
        <w:rPr>
          <w:noProof/>
        </w:rPr>
        <w:fldChar w:fldCharType="separate"/>
      </w:r>
      <w:r w:rsidR="00910E65">
        <w:rPr>
          <w:noProof/>
        </w:rPr>
        <w:t>2</w:t>
      </w:r>
      <w:r w:rsidR="00BC6E6C">
        <w:rPr>
          <w:noProof/>
        </w:rPr>
        <w:fldChar w:fldCharType="end"/>
      </w:r>
      <w:bookmarkEnd w:id="30"/>
      <w:r>
        <w:t xml:space="preserve">: </w:t>
      </w:r>
      <w:r w:rsidRPr="00AC5180">
        <w:rPr>
          <w:rStyle w:val="Captionnotbold"/>
        </w:rPr>
        <w:t xml:space="preserve">Average RITA amount ($) by </w:t>
      </w:r>
      <w:proofErr w:type="spellStart"/>
      <w:r w:rsidRPr="00AC5180">
        <w:rPr>
          <w:rStyle w:val="Captionnotbold"/>
        </w:rPr>
        <w:t>PhARIA</w:t>
      </w:r>
      <w:proofErr w:type="spellEnd"/>
      <w:r w:rsidR="00727D63">
        <w:rPr>
          <w:rStyle w:val="Captionnotbold"/>
        </w:rPr>
        <w:t>,</w:t>
      </w:r>
      <w:r w:rsidRPr="00AC5180">
        <w:rPr>
          <w:rStyle w:val="Captionnotbold"/>
        </w:rPr>
        <w:t xml:space="preserve"> 2013 to 2015</w:t>
      </w:r>
    </w:p>
    <w:p w14:paraId="22287436" w14:textId="77777777" w:rsidR="00B21EAA" w:rsidRDefault="00B21EAA" w:rsidP="00B21EAA">
      <w:pPr>
        <w:pStyle w:val="BodyCopy"/>
        <w:jc w:val="center"/>
      </w:pPr>
      <w:r w:rsidRPr="00AC5180">
        <w:rPr>
          <w:noProof/>
          <w:lang w:eastAsia="en-AU"/>
        </w:rPr>
        <w:drawing>
          <wp:inline distT="0" distB="0" distL="0" distR="0" wp14:anchorId="49761A37" wp14:editId="25A5FDD9">
            <wp:extent cx="4095750" cy="2457450"/>
            <wp:effectExtent l="0" t="0" r="0" b="0"/>
            <wp:docPr id="71" name="Picture 71" descr="Figure 2.2 Line graph showing Average RITA amount ($) by PhARIA, 2013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96340" cy="2457804"/>
                    </a:xfrm>
                    <a:prstGeom prst="rect">
                      <a:avLst/>
                    </a:prstGeom>
                    <a:noFill/>
                    <a:ln>
                      <a:noFill/>
                    </a:ln>
                  </pic:spPr>
                </pic:pic>
              </a:graphicData>
            </a:graphic>
          </wp:inline>
        </w:drawing>
      </w:r>
    </w:p>
    <w:p w14:paraId="04FF0773" w14:textId="77777777" w:rsidR="00B21EAA" w:rsidRDefault="00B21EAA" w:rsidP="004911F7">
      <w:pPr>
        <w:pStyle w:val="Heading3"/>
      </w:pPr>
      <w:bookmarkStart w:id="31" w:name="_Toc523318804"/>
      <w:r>
        <w:t>Evaluation findings</w:t>
      </w:r>
      <w:bookmarkEnd w:id="31"/>
    </w:p>
    <w:p w14:paraId="46CD735C" w14:textId="77777777" w:rsidR="00B21EAA" w:rsidRPr="0082020E" w:rsidRDefault="00B21EAA" w:rsidP="004911F7">
      <w:pPr>
        <w:pStyle w:val="Heading4"/>
      </w:pPr>
      <w:r w:rsidRPr="0082020E">
        <w:t>Appropriateness</w:t>
      </w:r>
    </w:p>
    <w:p w14:paraId="52CF6D2F" w14:textId="281BB398" w:rsidR="00B21EAA" w:rsidRDefault="00B21EAA" w:rsidP="00B21EAA">
      <w:pPr>
        <w:pStyle w:val="BodyCopy"/>
      </w:pPr>
      <w:r>
        <w:t xml:space="preserve">Numerous studies explore the effect of rural internship on future rural </w:t>
      </w:r>
      <w:r w:rsidR="00727D63">
        <w:t>practice</w:t>
      </w:r>
      <w:r>
        <w:t xml:space="preserve">, which show a correlation between rural internship and rural practice. </w:t>
      </w:r>
      <w:sdt>
        <w:sdtPr>
          <w:id w:val="-678889759"/>
          <w:citation/>
        </w:sdtPr>
        <w:sdtContent>
          <w:r>
            <w:fldChar w:fldCharType="begin"/>
          </w:r>
          <w:r>
            <w:instrText xml:space="preserve"> CITATION Hen09 \l 3081 </w:instrText>
          </w:r>
          <w:r>
            <w:fldChar w:fldCharType="separate"/>
          </w:r>
          <w:r w:rsidR="0089011F" w:rsidRPr="0089011F">
            <w:rPr>
              <w:noProof/>
            </w:rPr>
            <w:t>[10]</w:t>
          </w:r>
          <w:r>
            <w:fldChar w:fldCharType="end"/>
          </w:r>
        </w:sdtContent>
      </w:sdt>
      <w:r>
        <w:t xml:space="preserve">, </w:t>
      </w:r>
      <w:sdt>
        <w:sdtPr>
          <w:id w:val="-314184855"/>
          <w:citation/>
        </w:sdtPr>
        <w:sdtContent>
          <w:r>
            <w:fldChar w:fldCharType="begin"/>
          </w:r>
          <w:r>
            <w:instrText xml:space="preserve"> CITATION Pea04 \l 3081 </w:instrText>
          </w:r>
          <w:r>
            <w:fldChar w:fldCharType="separate"/>
          </w:r>
          <w:r w:rsidR="0089011F" w:rsidRPr="0089011F">
            <w:rPr>
              <w:noProof/>
            </w:rPr>
            <w:t>[21]</w:t>
          </w:r>
          <w:r>
            <w:fldChar w:fldCharType="end"/>
          </w:r>
        </w:sdtContent>
      </w:sdt>
      <w:r>
        <w:t>,</w:t>
      </w:r>
      <w:r w:rsidRPr="00697D4E">
        <w:t xml:space="preserve"> </w:t>
      </w:r>
      <w:sdt>
        <w:sdtPr>
          <w:id w:val="-562019150"/>
          <w:citation/>
        </w:sdtPr>
        <w:sdtContent>
          <w:r>
            <w:fldChar w:fldCharType="begin"/>
          </w:r>
          <w:r>
            <w:instrText xml:space="preserve"> CITATION Fle11 \l 3081 </w:instrText>
          </w:r>
          <w:r>
            <w:fldChar w:fldCharType="separate"/>
          </w:r>
          <w:r w:rsidR="0089011F" w:rsidRPr="0089011F">
            <w:rPr>
              <w:noProof/>
            </w:rPr>
            <w:t>[22]</w:t>
          </w:r>
          <w:r>
            <w:fldChar w:fldCharType="end"/>
          </w:r>
        </w:sdtContent>
      </w:sdt>
      <w:r>
        <w:t xml:space="preserve"> A survey of over 600 rural and metropolitan pharmacists </w:t>
      </w:r>
      <w:r w:rsidR="00727D63">
        <w:t xml:space="preserve">practising </w:t>
      </w:r>
      <w:r>
        <w:t xml:space="preserve">in Victoria identified </w:t>
      </w:r>
      <w:r w:rsidR="00727D63">
        <w:t xml:space="preserve">that </w:t>
      </w:r>
      <w:r>
        <w:t xml:space="preserve">undertaking a rural internship was the strongest predictor of future rural </w:t>
      </w:r>
      <w:r w:rsidR="00727D63">
        <w:t xml:space="preserve">practice </w:t>
      </w:r>
      <w:r>
        <w:t xml:space="preserve">and this effect was statistically significant. </w:t>
      </w:r>
      <w:sdt>
        <w:sdtPr>
          <w:id w:val="371205749"/>
          <w:citation/>
        </w:sdtPr>
        <w:sdtContent>
          <w:r>
            <w:fldChar w:fldCharType="begin"/>
          </w:r>
          <w:r>
            <w:instrText xml:space="preserve"> CITATION Fle11 \l 3081 </w:instrText>
          </w:r>
          <w:r>
            <w:fldChar w:fldCharType="separate"/>
          </w:r>
          <w:r w:rsidR="0089011F" w:rsidRPr="0089011F">
            <w:rPr>
              <w:noProof/>
            </w:rPr>
            <w:t>[22]</w:t>
          </w:r>
          <w:r>
            <w:fldChar w:fldCharType="end"/>
          </w:r>
        </w:sdtContent>
      </w:sdt>
      <w:r>
        <w:t xml:space="preserve"> </w:t>
      </w:r>
      <w:r w:rsidRPr="000A1CBB">
        <w:t>This is confirmed by analysis of recent pharmacist workforce data</w:t>
      </w:r>
      <w:r w:rsidR="00727D63">
        <w:t>,</w:t>
      </w:r>
      <w:sdt>
        <w:sdtPr>
          <w:id w:val="-1807387852"/>
          <w:citation/>
        </w:sdtPr>
        <w:sdtContent>
          <w:r w:rsidRPr="000A1CBB">
            <w:fldChar w:fldCharType="begin"/>
          </w:r>
          <w:r w:rsidRPr="000A1CBB">
            <w:instrText xml:space="preserve">CITATION Dep15 \l 3081 </w:instrText>
          </w:r>
          <w:r w:rsidRPr="000A1CBB">
            <w:fldChar w:fldCharType="separate"/>
          </w:r>
          <w:r w:rsidR="0089011F">
            <w:rPr>
              <w:noProof/>
            </w:rPr>
            <w:t xml:space="preserve"> </w:t>
          </w:r>
          <w:r w:rsidR="0089011F" w:rsidRPr="0089011F">
            <w:rPr>
              <w:noProof/>
            </w:rPr>
            <w:t>[23]</w:t>
          </w:r>
          <w:r w:rsidRPr="000A1CBB">
            <w:fldChar w:fldCharType="end"/>
          </w:r>
        </w:sdtContent>
      </w:sdt>
      <w:r>
        <w:t xml:space="preserve"> which </w:t>
      </w:r>
      <w:r w:rsidRPr="000A1CBB">
        <w:t>show</w:t>
      </w:r>
      <w:r>
        <w:t>ed</w:t>
      </w:r>
      <w:r w:rsidRPr="000A1CBB">
        <w:t xml:space="preserve"> that the majority of </w:t>
      </w:r>
      <w:r>
        <w:t xml:space="preserve">newly graduating </w:t>
      </w:r>
      <w:r w:rsidRPr="000A1CBB">
        <w:t xml:space="preserve">pharmacists </w:t>
      </w:r>
      <w:r>
        <w:t xml:space="preserve">in </w:t>
      </w:r>
      <w:r w:rsidRPr="000A1CBB">
        <w:t xml:space="preserve">inner or outer regional locations had completed an internship (provisional registration) the preceding year in the same location </w:t>
      </w:r>
      <w:r>
        <w:t xml:space="preserve">type </w:t>
      </w:r>
      <w:r w:rsidRPr="000A1CBB">
        <w:t>(76% for inner regional and 68% for outer regional</w:t>
      </w:r>
      <w:r>
        <w:t xml:space="preserve">). </w:t>
      </w:r>
    </w:p>
    <w:p w14:paraId="7A9C78F7" w14:textId="7125F2E9" w:rsidR="00B21EAA" w:rsidRDefault="00B21EAA" w:rsidP="00B21EAA">
      <w:pPr>
        <w:pStyle w:val="BodyCopy"/>
      </w:pPr>
      <w:r>
        <w:t>Further details of the literature and workforce data analysis are discussed in section </w:t>
      </w:r>
      <w:r>
        <w:fldChar w:fldCharType="begin"/>
      </w:r>
      <w:r>
        <w:instrText xml:space="preserve"> REF _Ref487543597 \r \h </w:instrText>
      </w:r>
      <w:r>
        <w:fldChar w:fldCharType="separate"/>
      </w:r>
      <w:r w:rsidR="00910E65">
        <w:t>3.3</w:t>
      </w:r>
      <w:r>
        <w:fldChar w:fldCharType="end"/>
      </w:r>
      <w:r w:rsidR="00FD3A0F">
        <w:t>.</w:t>
      </w:r>
    </w:p>
    <w:p w14:paraId="5FD99437" w14:textId="77777777" w:rsidR="00B21EAA" w:rsidRDefault="00B21EAA" w:rsidP="00B21EAA">
      <w:pPr>
        <w:pStyle w:val="BodyCopy"/>
      </w:pPr>
      <w:r>
        <w:lastRenderedPageBreak/>
        <w:t xml:space="preserve">Despite the importance of rural exposure for future rural practice, the desktop review did not find any literature on the barriers or enablers for attracting rural interns. </w:t>
      </w:r>
    </w:p>
    <w:p w14:paraId="3917DED1" w14:textId="27D59B3F" w:rsidR="00B21EAA" w:rsidRDefault="00B21EAA" w:rsidP="00B21EAA">
      <w:pPr>
        <w:pStyle w:val="BodyCopy"/>
        <w:rPr>
          <w:b/>
        </w:rPr>
      </w:pPr>
      <w:r>
        <w:t>Additionally, a number of peer reviewed studies identified easy access to continuing professional development (CPD) as an important factor considered by health professionals when deciding whether to leave or stay in rural areas.</w:t>
      </w:r>
      <w:sdt>
        <w:sdtPr>
          <w:id w:val="2055884626"/>
          <w:citation/>
        </w:sdtPr>
        <w:sdtContent>
          <w:r>
            <w:fldChar w:fldCharType="begin"/>
          </w:r>
          <w:r>
            <w:instrText xml:space="preserve"> CITATION Cur10 \l 3081  \m God13 \m Kot06</w:instrText>
          </w:r>
          <w:r>
            <w:fldChar w:fldCharType="separate"/>
          </w:r>
          <w:r w:rsidR="0089011F">
            <w:rPr>
              <w:noProof/>
            </w:rPr>
            <w:t xml:space="preserve"> </w:t>
          </w:r>
          <w:r w:rsidR="0089011F" w:rsidRPr="0089011F">
            <w:rPr>
              <w:noProof/>
            </w:rPr>
            <w:t>[24, 25, 26]</w:t>
          </w:r>
          <w:r>
            <w:fldChar w:fldCharType="end"/>
          </w:r>
        </w:sdtContent>
      </w:sdt>
      <w:r>
        <w:t xml:space="preserve"> However, the desktop review and literature scan did not identify any similar programs specific to meeting the needs of interns.</w:t>
      </w:r>
    </w:p>
    <w:p w14:paraId="63CBD3C9" w14:textId="77777777" w:rsidR="00B21EAA" w:rsidRDefault="00B21EAA" w:rsidP="00453658">
      <w:pPr>
        <w:pStyle w:val="Appropriatenessassessment"/>
      </w:pPr>
      <w:r>
        <w:t xml:space="preserve">There is strong evidence to support the importance of rural exposure (through internships) for future rural practice, and the need for support for CPD. However, there was a paucity of information on best practices to engage rural interns. </w:t>
      </w:r>
    </w:p>
    <w:p w14:paraId="1D88BA63" w14:textId="77777777" w:rsidR="00B21EAA" w:rsidRPr="0082020E" w:rsidRDefault="00B21EAA" w:rsidP="004911F7">
      <w:pPr>
        <w:pStyle w:val="Heading4"/>
      </w:pPr>
      <w:r w:rsidRPr="0082020E">
        <w:t>Effectiveness</w:t>
      </w:r>
    </w:p>
    <w:p w14:paraId="21631ED1" w14:textId="1F2EC74B" w:rsidR="00B21EAA" w:rsidRDefault="00B21EAA" w:rsidP="00B21EAA">
      <w:pPr>
        <w:pStyle w:val="BodyCopy"/>
      </w:pPr>
      <w:r>
        <w:t xml:space="preserve">Of the 51 previous recipients of the RITA that responded to the online survey, </w:t>
      </w:r>
      <w:r w:rsidR="00947608">
        <w:t>47 </w:t>
      </w:r>
      <w:r>
        <w:t>(97%) stated the funding they received was a helpful contribution to the costs incurred as part of their training and education.</w:t>
      </w:r>
    </w:p>
    <w:p w14:paraId="72A1E9E6" w14:textId="55262898" w:rsidR="00B21EAA" w:rsidRDefault="00B21EAA" w:rsidP="00B21EAA">
      <w:pPr>
        <w:pStyle w:val="BodyCopy"/>
      </w:pPr>
      <w:r>
        <w:t xml:space="preserve">Only one peak body group, the Pharmacy Guild of Australia, provided comments on this program. The Guild also considered the RITA to be a useful program for non-metropolitan interns. However, it was noted that the gradual move towards online intern training may reduce the need for travel for compulsory training events. Further investigation would be required to determine the impact </w:t>
      </w:r>
      <w:r w:rsidR="00947608">
        <w:t xml:space="preserve">of </w:t>
      </w:r>
      <w:r>
        <w:t xml:space="preserve">online training on intern travel expenses. </w:t>
      </w:r>
    </w:p>
    <w:p w14:paraId="489722AD" w14:textId="77777777" w:rsidR="00B21EAA" w:rsidRDefault="00B21EAA" w:rsidP="00453658">
      <w:pPr>
        <w:pStyle w:val="Effectiveness"/>
      </w:pPr>
      <w:r>
        <w:t xml:space="preserve">Information from intern survey responses indicates that the RITA program achieves its aim to reduce the additional costs incurred </w:t>
      </w:r>
      <w:r w:rsidRPr="004968C4">
        <w:t>to undertake compul</w:t>
      </w:r>
      <w:r>
        <w:t xml:space="preserve">sory workshops and examinations. </w:t>
      </w:r>
    </w:p>
    <w:p w14:paraId="691A2614" w14:textId="77777777" w:rsidR="004911F7" w:rsidRPr="004911F7" w:rsidRDefault="00B21EAA" w:rsidP="004911F7">
      <w:pPr>
        <w:pStyle w:val="Heading4"/>
      </w:pPr>
      <w:r w:rsidRPr="0082020E">
        <w:t>Efficiency</w:t>
      </w:r>
    </w:p>
    <w:p w14:paraId="2B33C84D" w14:textId="019DF1AA" w:rsidR="004911F7" w:rsidRDefault="004911F7" w:rsidP="004911F7">
      <w:pPr>
        <w:pStyle w:val="BodyCopy"/>
      </w:pPr>
      <w:r>
        <w:t xml:space="preserve">The average annual cost of the </w:t>
      </w:r>
      <w:r w:rsidR="00FD3A0F">
        <w:t>RITA</w:t>
      </w:r>
      <w:r>
        <w:t xml:space="preserve"> program (allowance plus administration costs) was estimated at </w:t>
      </w:r>
      <w:r>
        <w:rPr>
          <w:rFonts w:ascii="Times New Roman" w:hAnsi="Times New Roman"/>
        </w:rPr>
        <w:t>$227,649</w:t>
      </w:r>
      <w:r>
        <w:t xml:space="preserve"> (based on the two financial years for which data was </w:t>
      </w:r>
      <w:r>
        <w:t>available</w:t>
      </w:r>
      <w:r>
        <w:rPr>
          <w:rFonts w:ascii="Times New Roman" w:hAnsi="Times New Roman"/>
        </w:rPr>
        <w:t xml:space="preserve"> $221,215</w:t>
      </w:r>
      <w:r>
        <w:t xml:space="preserve"> in 2013</w:t>
      </w:r>
      <w:r w:rsidR="00947608">
        <w:t>–</w:t>
      </w:r>
      <w:r>
        <w:t xml:space="preserve">14 and </w:t>
      </w:r>
      <w:r>
        <w:rPr>
          <w:rFonts w:ascii="Times New Roman" w:hAnsi="Times New Roman"/>
        </w:rPr>
        <w:t>$234,083</w:t>
      </w:r>
      <w:r>
        <w:t xml:space="preserve"> in 2014</w:t>
      </w:r>
      <w:r w:rsidR="00947608">
        <w:t>–</w:t>
      </w:r>
      <w:r>
        <w:t xml:space="preserve">15). This equates to an average unit cost of </w:t>
      </w:r>
      <w:r w:rsidR="00FD3A0F">
        <w:rPr>
          <w:rFonts w:ascii="Times New Roman" w:hAnsi="Times New Roman"/>
        </w:rPr>
        <w:t>$1,169</w:t>
      </w:r>
      <w:r>
        <w:t xml:space="preserve"> per allowance. There is considerable administrative effort required to pro</w:t>
      </w:r>
      <w:r w:rsidR="00FD3A0F">
        <w:t>cess each claim, estimated at 61</w:t>
      </w:r>
      <w:r>
        <w:t xml:space="preserve">% of the unit cost. </w:t>
      </w:r>
    </w:p>
    <w:p w14:paraId="7C97EF30" w14:textId="77777777" w:rsidR="004911F7" w:rsidRDefault="004911F7" w:rsidP="004911F7">
      <w:pPr>
        <w:pStyle w:val="BodyCopy"/>
      </w:pPr>
      <w:r>
        <w:t xml:space="preserve">However, it was not possible to determine the average RITA amount per individual intern as the program data was de-identified. Therefore, it is not possible to ascertain if individual interns claimed the total </w:t>
      </w:r>
      <w:r>
        <w:rPr>
          <w:rFonts w:ascii="Times New Roman" w:hAnsi="Times New Roman"/>
        </w:rPr>
        <w:t>$</w:t>
      </w:r>
      <w:r>
        <w:t xml:space="preserve">1,500 available per financial year., nor if internships that spanned financial years were able to access more than </w:t>
      </w:r>
      <w:r>
        <w:rPr>
          <w:rFonts w:ascii="Times New Roman" w:hAnsi="Times New Roman"/>
        </w:rPr>
        <w:t>$</w:t>
      </w:r>
      <w:r>
        <w:t xml:space="preserve">1,500. </w:t>
      </w:r>
    </w:p>
    <w:p w14:paraId="6BBFEDA2" w14:textId="77777777" w:rsidR="00FD3A0F" w:rsidRPr="00B2593B" w:rsidRDefault="00FD3A0F" w:rsidP="00453658">
      <w:pPr>
        <w:pStyle w:val="Efficiency"/>
      </w:pPr>
      <w:r>
        <w:t xml:space="preserve">A single unit cost per RITA recipient was estimated at </w:t>
      </w:r>
      <w:r>
        <w:rPr>
          <w:rFonts w:ascii="Times New Roman" w:hAnsi="Times New Roman"/>
        </w:rPr>
        <w:t>$</w:t>
      </w:r>
      <w:r>
        <w:t>1,169 comprising 61% administration overhead costs. This was considered outside the acceptable range for administration overheads. However, further investigation is required to assess actual time spent administering the program.</w:t>
      </w:r>
    </w:p>
    <w:p w14:paraId="3D0C60F4" w14:textId="77777777" w:rsidR="004911F7" w:rsidRDefault="004911F7" w:rsidP="004911F7">
      <w:pPr>
        <w:pStyle w:val="Heading4"/>
      </w:pPr>
      <w:r>
        <w:t>Options for improving program operation</w:t>
      </w:r>
    </w:p>
    <w:p w14:paraId="1EF04948" w14:textId="234CAA20" w:rsidR="00B21EAA" w:rsidRDefault="00B21EAA" w:rsidP="00B21EAA">
      <w:pPr>
        <w:pStyle w:val="BodyCopy"/>
      </w:pPr>
      <w:r>
        <w:t xml:space="preserve">Several previous recipients of the RITA who responded to the online survey raised </w:t>
      </w:r>
      <w:r w:rsidR="00947608">
        <w:t xml:space="preserve">a number of </w:t>
      </w:r>
      <w:r>
        <w:t>issues with the program. These included:</w:t>
      </w:r>
    </w:p>
    <w:p w14:paraId="0338246E" w14:textId="4F275D46" w:rsidR="00B21EAA" w:rsidRDefault="00B21EAA" w:rsidP="00B21EAA">
      <w:pPr>
        <w:pStyle w:val="Bullets1"/>
      </w:pPr>
      <w:r>
        <w:t xml:space="preserve">the </w:t>
      </w:r>
      <w:r w:rsidR="00FC5F4C">
        <w:t>500-kilometre</w:t>
      </w:r>
      <w:r>
        <w:t xml:space="preserve"> cap on funded distance travelled disadvantages remote interns</w:t>
      </w:r>
    </w:p>
    <w:p w14:paraId="1BDA3833" w14:textId="77777777" w:rsidR="00B21EAA" w:rsidRDefault="00B21EAA" w:rsidP="00B21EAA">
      <w:pPr>
        <w:pStyle w:val="Bullets1"/>
      </w:pPr>
      <w:r>
        <w:t xml:space="preserve">more promotion of the Allowance is required as some respondents were not aware of the RITA, and </w:t>
      </w:r>
    </w:p>
    <w:p w14:paraId="1DAAC4C3" w14:textId="6A2D1FD8" w:rsidR="00B21EAA" w:rsidRDefault="00B21EAA" w:rsidP="00B21EAA">
      <w:pPr>
        <w:pStyle w:val="Bullets1"/>
      </w:pPr>
      <w:r>
        <w:t xml:space="preserve">providing upfront funding </w:t>
      </w:r>
      <w:r w:rsidR="00FC5F4C">
        <w:t>is preferred to</w:t>
      </w:r>
      <w:r>
        <w:t xml:space="preserve"> reimbursement </w:t>
      </w:r>
      <w:r w:rsidR="00947608">
        <w:t>because out-of-</w:t>
      </w:r>
      <w:r>
        <w:t xml:space="preserve">pocket expenses can be a burden on rural interns. </w:t>
      </w:r>
    </w:p>
    <w:p w14:paraId="3B4B3B37" w14:textId="602B91EF" w:rsidR="00B21EAA" w:rsidRDefault="00B21EAA" w:rsidP="00B21EAA">
      <w:pPr>
        <w:pStyle w:val="BodyCopy"/>
      </w:pPr>
      <w:r>
        <w:t xml:space="preserve">Conversely, The Guild (as peak body and administrator of the program) considered the </w:t>
      </w:r>
      <w:r w:rsidR="003474FB">
        <w:t xml:space="preserve">current </w:t>
      </w:r>
      <w:r>
        <w:t xml:space="preserve">administration of the program to be fast and efficient, and worried that providing upfront payments </w:t>
      </w:r>
      <w:r w:rsidRPr="00080A95">
        <w:t>would</w:t>
      </w:r>
      <w:r>
        <w:t xml:space="preserve"> significantly increase the administration burden. </w:t>
      </w:r>
    </w:p>
    <w:p w14:paraId="502B86AB" w14:textId="021225A1" w:rsidR="00B21EAA" w:rsidRDefault="00F626E8" w:rsidP="00B21EAA">
      <w:pPr>
        <w:pStyle w:val="BodyCopy"/>
      </w:pPr>
      <w:r>
        <w:t>Alternatively</w:t>
      </w:r>
      <w:r w:rsidR="00B21EAA">
        <w:t>, a set stipend</w:t>
      </w:r>
      <w:r w:rsidR="00B21EAA" w:rsidRPr="005B60BA">
        <w:t xml:space="preserve"> </w:t>
      </w:r>
      <w:r w:rsidR="00B21EAA">
        <w:t xml:space="preserve">for intern travel, </w:t>
      </w:r>
      <w:r w:rsidR="003474FB">
        <w:t>tier-</w:t>
      </w:r>
      <w:r w:rsidR="00B21EAA">
        <w:t>based on remoteness of location, could be allocated, payable upon commencement of internship or at periodic intervals. This style of payment could provide intern</w:t>
      </w:r>
      <w:r w:rsidR="00947608">
        <w:t>s</w:t>
      </w:r>
      <w:r w:rsidR="00B21EAA">
        <w:t xml:space="preserve"> with upfront payments, without increasing the administrative burden. However, a set stipend (rather than actual expenditure) could significantly increase program costs. </w:t>
      </w:r>
    </w:p>
    <w:p w14:paraId="30DA3839" w14:textId="77777777" w:rsidR="00B21EAA" w:rsidRDefault="00B21EAA" w:rsidP="00453658">
      <w:pPr>
        <w:pStyle w:val="Efficiency"/>
      </w:pPr>
      <w:r>
        <w:lastRenderedPageBreak/>
        <w:t xml:space="preserve">Minor modifications to the RITA program could be made to improve the overall efficiency. However, the economic impact of the modifications would need to be considered. </w:t>
      </w:r>
    </w:p>
    <w:p w14:paraId="3EAB9DFA" w14:textId="77777777" w:rsidR="00B21EAA" w:rsidRDefault="00B21EAA" w:rsidP="00E76ECE">
      <w:pPr>
        <w:pStyle w:val="Heading2"/>
      </w:pPr>
      <w:bookmarkStart w:id="32" w:name="_Toc523318805"/>
      <w:r>
        <w:t>Rural Pharmacy Student Placement Allowance</w:t>
      </w:r>
      <w:bookmarkEnd w:id="32"/>
    </w:p>
    <w:p w14:paraId="58D84D4C" w14:textId="7BB7ABEA" w:rsidR="00B21EAA" w:rsidRDefault="00B21EAA" w:rsidP="00E76ECE">
      <w:pPr>
        <w:pStyle w:val="Heading3"/>
      </w:pPr>
      <w:bookmarkStart w:id="33" w:name="_Toc523318806"/>
      <w:r>
        <w:t>Context</w:t>
      </w:r>
      <w:bookmarkEnd w:id="33"/>
    </w:p>
    <w:p w14:paraId="7D1A2F67" w14:textId="4C53B7B7" w:rsidR="00B21EAA" w:rsidRDefault="00B21EAA" w:rsidP="00E76ECE">
      <w:pPr>
        <w:pStyle w:val="Heading4"/>
      </w:pPr>
      <w:r>
        <w:t>Target population</w:t>
      </w:r>
    </w:p>
    <w:p w14:paraId="7099779A" w14:textId="1E277D7C" w:rsidR="00B21EAA" w:rsidRDefault="00B21EAA" w:rsidP="00B21EAA">
      <w:pPr>
        <w:pStyle w:val="BodyCopy"/>
      </w:pPr>
      <w:r>
        <w:t xml:space="preserve">The Rural Pharmacy Student Placement Allowance </w:t>
      </w:r>
      <w:r w:rsidR="00D431DC">
        <w:t xml:space="preserve">(the Placement Allowance) </w:t>
      </w:r>
      <w:r>
        <w:t>supports Australian universities offering pharmacy courses and pharmacy students completing a placement in a rural or remote area (</w:t>
      </w:r>
      <w:proofErr w:type="spellStart"/>
      <w:r>
        <w:t>PhARIA</w:t>
      </w:r>
      <w:proofErr w:type="spellEnd"/>
      <w:r>
        <w:t xml:space="preserve"> 2</w:t>
      </w:r>
      <w:r w:rsidR="003474FB">
        <w:t>–</w:t>
      </w:r>
      <w:r>
        <w:t>6).</w:t>
      </w:r>
      <w:sdt>
        <w:sdtPr>
          <w:id w:val="710459343"/>
          <w:citation/>
        </w:sdtPr>
        <w:sdtContent>
          <w:r>
            <w:fldChar w:fldCharType="begin"/>
          </w:r>
          <w:r>
            <w:instrText xml:space="preserve"> CITATION The154 \l 3081 </w:instrText>
          </w:r>
          <w:r>
            <w:fldChar w:fldCharType="separate"/>
          </w:r>
          <w:r w:rsidR="0089011F">
            <w:rPr>
              <w:noProof/>
            </w:rPr>
            <w:t xml:space="preserve"> </w:t>
          </w:r>
          <w:r w:rsidR="0089011F" w:rsidRPr="0089011F">
            <w:rPr>
              <w:noProof/>
            </w:rPr>
            <w:t>[27]</w:t>
          </w:r>
          <w:r>
            <w:fldChar w:fldCharType="end"/>
          </w:r>
        </w:sdtContent>
      </w:sdt>
      <w:r>
        <w:t xml:space="preserve"> </w:t>
      </w:r>
    </w:p>
    <w:p w14:paraId="4A8E5272" w14:textId="340A637F" w:rsidR="00B21EAA" w:rsidRPr="0082020E" w:rsidRDefault="00B21EAA" w:rsidP="00E76ECE">
      <w:pPr>
        <w:pStyle w:val="Heading4"/>
      </w:pPr>
      <w:r w:rsidRPr="0082020E">
        <w:t xml:space="preserve">Program </w:t>
      </w:r>
      <w:r w:rsidR="00667940">
        <w:t>aim</w:t>
      </w:r>
    </w:p>
    <w:p w14:paraId="50FDB0DC" w14:textId="766F3660" w:rsidR="00B21EAA" w:rsidRDefault="00B21EAA" w:rsidP="00B21EAA">
      <w:pPr>
        <w:pStyle w:val="BodyCopy"/>
      </w:pPr>
      <w:r w:rsidRPr="004968C4">
        <w:t>The Placement Allowance aims to facilitate positive placement experiences for pharmacy students in rural and remote communities in order to encourage students to return to rura</w:t>
      </w:r>
      <w:r>
        <w:t xml:space="preserve">l communities upon graduation. </w:t>
      </w:r>
      <w:r w:rsidRPr="004968C4">
        <w:t xml:space="preserve">Financial assistance </w:t>
      </w:r>
      <w:r>
        <w:t>is</w:t>
      </w:r>
      <w:r w:rsidRPr="004968C4">
        <w:t xml:space="preserve"> provided to students for costs incurred for travel and accommodation associated with rural placements.</w:t>
      </w:r>
    </w:p>
    <w:p w14:paraId="2F76D2C5" w14:textId="77777777" w:rsidR="00B21EAA" w:rsidRPr="0082020E" w:rsidRDefault="00B21EAA" w:rsidP="00E76ECE">
      <w:pPr>
        <w:pStyle w:val="Heading4"/>
      </w:pPr>
      <w:r w:rsidRPr="0082020E">
        <w:t>Program delivery method</w:t>
      </w:r>
    </w:p>
    <w:p w14:paraId="7C80AA27" w14:textId="238601C1" w:rsidR="00B21EAA" w:rsidRDefault="00B21EAA" w:rsidP="00B21EAA">
      <w:pPr>
        <w:pStyle w:val="BodyCopy"/>
      </w:pPr>
      <w:r>
        <w:t>The Placement Allowance provides financial support to Australian universities to enable them to deliver student placements in rural and remote areas (</w:t>
      </w:r>
      <w:proofErr w:type="spellStart"/>
      <w:r>
        <w:t>PhARIA</w:t>
      </w:r>
      <w:proofErr w:type="spellEnd"/>
      <w:r>
        <w:t xml:space="preserve"> 2</w:t>
      </w:r>
      <w:r w:rsidR="003474FB">
        <w:t>–</w:t>
      </w:r>
      <w:r>
        <w:t xml:space="preserve">6). </w:t>
      </w:r>
    </w:p>
    <w:p w14:paraId="6F0C8B28" w14:textId="66FE0CC5" w:rsidR="00B21EAA" w:rsidRDefault="00B21EAA" w:rsidP="00B21EAA">
      <w:pPr>
        <w:pStyle w:val="BodyCopy"/>
      </w:pPr>
      <w:r>
        <w:t>In 2015</w:t>
      </w:r>
      <w:r w:rsidR="003474FB">
        <w:t>–</w:t>
      </w:r>
      <w:r>
        <w:t>16, Placement Allowance funding was delivered to 17 pharmacy schools including the following:</w:t>
      </w:r>
    </w:p>
    <w:p w14:paraId="4F437A70" w14:textId="77777777" w:rsidR="00B21EAA" w:rsidRDefault="00B21EAA" w:rsidP="00B21EAA">
      <w:pPr>
        <w:pStyle w:val="Bullets1"/>
      </w:pPr>
      <w:r>
        <w:t>Charles Darwin University</w:t>
      </w:r>
    </w:p>
    <w:p w14:paraId="6ABCECBB" w14:textId="77777777" w:rsidR="00B21EAA" w:rsidRDefault="00B21EAA" w:rsidP="00B21EAA">
      <w:pPr>
        <w:pStyle w:val="Bullets1"/>
      </w:pPr>
      <w:r>
        <w:t>Charles Sturt University</w:t>
      </w:r>
    </w:p>
    <w:p w14:paraId="6CD2BE2A" w14:textId="77777777" w:rsidR="00B21EAA" w:rsidRDefault="00B21EAA" w:rsidP="00B21EAA">
      <w:pPr>
        <w:pStyle w:val="Bullets1"/>
      </w:pPr>
      <w:r>
        <w:t>Curtin University</w:t>
      </w:r>
    </w:p>
    <w:p w14:paraId="6BD6313D" w14:textId="77777777" w:rsidR="00B21EAA" w:rsidRDefault="00B21EAA" w:rsidP="00B21EAA">
      <w:pPr>
        <w:pStyle w:val="Bullets1"/>
      </w:pPr>
      <w:r>
        <w:t>Griffith University</w:t>
      </w:r>
    </w:p>
    <w:p w14:paraId="132BE53A" w14:textId="77777777" w:rsidR="00B21EAA" w:rsidRDefault="00B21EAA" w:rsidP="00B21EAA">
      <w:pPr>
        <w:pStyle w:val="Bullets1"/>
      </w:pPr>
      <w:r>
        <w:t>James Cook University</w:t>
      </w:r>
    </w:p>
    <w:p w14:paraId="1605A37C" w14:textId="77777777" w:rsidR="00B21EAA" w:rsidRDefault="00B21EAA" w:rsidP="00B21EAA">
      <w:pPr>
        <w:pStyle w:val="Bullets1"/>
      </w:pPr>
      <w:r>
        <w:t>La Trobe University</w:t>
      </w:r>
    </w:p>
    <w:p w14:paraId="715D9579" w14:textId="77777777" w:rsidR="00B21EAA" w:rsidRDefault="00B21EAA" w:rsidP="00B21EAA">
      <w:pPr>
        <w:pStyle w:val="Bullets1"/>
      </w:pPr>
      <w:r>
        <w:t>Monash University</w:t>
      </w:r>
    </w:p>
    <w:p w14:paraId="2E3C4376" w14:textId="77777777" w:rsidR="00B21EAA" w:rsidRDefault="00B21EAA" w:rsidP="00B21EAA">
      <w:pPr>
        <w:pStyle w:val="Bullets1"/>
      </w:pPr>
      <w:r>
        <w:t>Murdoch University</w:t>
      </w:r>
    </w:p>
    <w:p w14:paraId="58F4CD1F" w14:textId="77777777" w:rsidR="00B21EAA" w:rsidRDefault="00B21EAA" w:rsidP="00B21EAA">
      <w:pPr>
        <w:pStyle w:val="Bullets1"/>
      </w:pPr>
      <w:r>
        <w:t>Queensland University of Technology</w:t>
      </w:r>
    </w:p>
    <w:p w14:paraId="426E1480" w14:textId="77777777" w:rsidR="00B21EAA" w:rsidRDefault="00B21EAA" w:rsidP="00B21EAA">
      <w:pPr>
        <w:pStyle w:val="Bullets1"/>
      </w:pPr>
      <w:r>
        <w:t>University of Tasmania</w:t>
      </w:r>
    </w:p>
    <w:p w14:paraId="14153E1B" w14:textId="77777777" w:rsidR="00B21EAA" w:rsidRDefault="00B21EAA" w:rsidP="00B21EAA">
      <w:pPr>
        <w:pStyle w:val="Bullets1"/>
      </w:pPr>
      <w:r>
        <w:t>University of Canberra</w:t>
      </w:r>
    </w:p>
    <w:p w14:paraId="0DFC4FDA" w14:textId="77777777" w:rsidR="00B21EAA" w:rsidRDefault="00B21EAA" w:rsidP="00B21EAA">
      <w:pPr>
        <w:pStyle w:val="Bullets1"/>
      </w:pPr>
      <w:r>
        <w:t>University of New England</w:t>
      </w:r>
    </w:p>
    <w:p w14:paraId="239020F5" w14:textId="77777777" w:rsidR="00B21EAA" w:rsidRDefault="00B21EAA" w:rsidP="00B21EAA">
      <w:pPr>
        <w:pStyle w:val="Bullets1"/>
      </w:pPr>
      <w:r>
        <w:t>University of Newcastle</w:t>
      </w:r>
    </w:p>
    <w:p w14:paraId="6B4D2AC5" w14:textId="77777777" w:rsidR="00B21EAA" w:rsidRDefault="00B21EAA" w:rsidP="00B21EAA">
      <w:pPr>
        <w:pStyle w:val="Bullets1"/>
      </w:pPr>
      <w:r>
        <w:t>University of Queensland</w:t>
      </w:r>
    </w:p>
    <w:p w14:paraId="0A6ECA9F" w14:textId="77777777" w:rsidR="00B21EAA" w:rsidRDefault="00B21EAA" w:rsidP="00B21EAA">
      <w:pPr>
        <w:pStyle w:val="Bullets1"/>
      </w:pPr>
      <w:r>
        <w:t>University of South Australia</w:t>
      </w:r>
    </w:p>
    <w:p w14:paraId="575FDD66" w14:textId="77777777" w:rsidR="00B21EAA" w:rsidRDefault="00B21EAA" w:rsidP="00B21EAA">
      <w:pPr>
        <w:pStyle w:val="Bullets1"/>
      </w:pPr>
      <w:r>
        <w:t>University of Sydney, and</w:t>
      </w:r>
    </w:p>
    <w:p w14:paraId="13BD6F45" w14:textId="77777777" w:rsidR="00B21EAA" w:rsidRDefault="00B21EAA" w:rsidP="00B21EAA">
      <w:pPr>
        <w:pStyle w:val="Bullets1"/>
      </w:pPr>
      <w:r>
        <w:t xml:space="preserve">University of Technology Sydney. </w:t>
      </w:r>
    </w:p>
    <w:p w14:paraId="65625C0B" w14:textId="77E3AE05" w:rsidR="00B21EAA" w:rsidRPr="00784568" w:rsidRDefault="00B21EAA" w:rsidP="00B21EAA">
      <w:pPr>
        <w:pStyle w:val="BodyCopy"/>
      </w:pPr>
      <w:r>
        <w:t>Funds are provided to universities at the beginning of each calendar year.</w:t>
      </w:r>
      <w:sdt>
        <w:sdtPr>
          <w:id w:val="1397392777"/>
          <w:citation/>
        </w:sdtPr>
        <w:sdtContent>
          <w:r>
            <w:fldChar w:fldCharType="begin"/>
          </w:r>
          <w:r>
            <w:instrText xml:space="preserve"> CITATION The154 \l 3081 </w:instrText>
          </w:r>
          <w:r>
            <w:fldChar w:fldCharType="separate"/>
          </w:r>
          <w:r w:rsidR="0089011F">
            <w:rPr>
              <w:noProof/>
            </w:rPr>
            <w:t xml:space="preserve"> </w:t>
          </w:r>
          <w:r w:rsidR="0089011F" w:rsidRPr="0089011F">
            <w:rPr>
              <w:noProof/>
            </w:rPr>
            <w:t>[27]</w:t>
          </w:r>
          <w:r>
            <w:fldChar w:fldCharType="end"/>
          </w:r>
        </w:sdtContent>
      </w:sdt>
      <w:r>
        <w:t xml:space="preserve"> The funding allocated to each university is based on placement volumes from the previous calendar year. Allowances of up to </w:t>
      </w:r>
      <w:r>
        <w:rPr>
          <w:rFonts w:ascii="Times New Roman" w:hAnsi="Times New Roman"/>
        </w:rPr>
        <w:t>$</w:t>
      </w:r>
      <w:r>
        <w:t xml:space="preserve">3,000 per student per placement are paid to students via their university. Allowance funds may only be used to cover travel and accommodation costs for students undertaking a rural placement. </w:t>
      </w:r>
      <w:sdt>
        <w:sdtPr>
          <w:id w:val="-947690724"/>
          <w:citation/>
        </w:sdtPr>
        <w:sdtContent>
          <w:r>
            <w:fldChar w:fldCharType="begin"/>
          </w:r>
          <w:r>
            <w:instrText xml:space="preserve"> CITATION The154 \l 3081 </w:instrText>
          </w:r>
          <w:r>
            <w:fldChar w:fldCharType="separate"/>
          </w:r>
          <w:r w:rsidR="0089011F" w:rsidRPr="0089011F">
            <w:rPr>
              <w:noProof/>
            </w:rPr>
            <w:t>[27]</w:t>
          </w:r>
          <w:r>
            <w:fldChar w:fldCharType="end"/>
          </w:r>
        </w:sdtContent>
      </w:sdt>
    </w:p>
    <w:p w14:paraId="0971F1C2" w14:textId="77777777" w:rsidR="00B21EAA" w:rsidRPr="0082020E" w:rsidRDefault="00B21EAA" w:rsidP="00E76ECE">
      <w:pPr>
        <w:pStyle w:val="Heading4"/>
      </w:pPr>
      <w:r w:rsidRPr="0082020E">
        <w:t>Program volumes</w:t>
      </w:r>
    </w:p>
    <w:p w14:paraId="73545832" w14:textId="0B5A0675" w:rsidR="00B21EAA" w:rsidRDefault="00B21EAA" w:rsidP="00B21EAA">
      <w:pPr>
        <w:pStyle w:val="BodyCopy"/>
      </w:pPr>
      <w:r>
        <w:t xml:space="preserve">Program data indicates 389 allowance payments were made to placement students across </w:t>
      </w:r>
      <w:r w:rsidR="00BD1431">
        <w:t>15</w:t>
      </w:r>
      <w:r>
        <w:t xml:space="preserve"> universities (excluding Murdoch University for which data is unavailable) during the 2015 calendar year.</w:t>
      </w:r>
      <w:sdt>
        <w:sdtPr>
          <w:id w:val="-794837426"/>
          <w:citation/>
        </w:sdtPr>
        <w:sdtContent>
          <w:r>
            <w:fldChar w:fldCharType="begin"/>
          </w:r>
          <w:r>
            <w:instrText xml:space="preserve"> CITATION The167 \l 3081 </w:instrText>
          </w:r>
          <w:r>
            <w:fldChar w:fldCharType="separate"/>
          </w:r>
          <w:r w:rsidR="0089011F">
            <w:rPr>
              <w:noProof/>
            </w:rPr>
            <w:t xml:space="preserve"> </w:t>
          </w:r>
          <w:r w:rsidR="0089011F" w:rsidRPr="0089011F">
            <w:rPr>
              <w:noProof/>
            </w:rPr>
            <w:t>[28]</w:t>
          </w:r>
          <w:r>
            <w:fldChar w:fldCharType="end"/>
          </w:r>
        </w:sdtContent>
      </w:sdt>
      <w:r>
        <w:t xml:space="preserve"> As shown in </w:t>
      </w:r>
      <w:r>
        <w:rPr>
          <w:highlight w:val="yellow"/>
        </w:rPr>
        <w:fldChar w:fldCharType="begin"/>
      </w:r>
      <w:r>
        <w:instrText xml:space="preserve"> REF _Ref487530069 \h </w:instrText>
      </w:r>
      <w:r>
        <w:rPr>
          <w:highlight w:val="yellow"/>
        </w:rPr>
      </w:r>
      <w:r>
        <w:rPr>
          <w:highlight w:val="yellow"/>
        </w:rPr>
        <w:fldChar w:fldCharType="separate"/>
      </w:r>
      <w:r w:rsidR="00910E65">
        <w:t xml:space="preserve">Figure </w:t>
      </w:r>
      <w:r w:rsidR="00910E65">
        <w:rPr>
          <w:noProof/>
        </w:rPr>
        <w:t>2</w:t>
      </w:r>
      <w:r w:rsidR="00910E65">
        <w:t>.</w:t>
      </w:r>
      <w:r w:rsidR="00910E65">
        <w:rPr>
          <w:noProof/>
        </w:rPr>
        <w:t>3</w:t>
      </w:r>
      <w:r>
        <w:rPr>
          <w:highlight w:val="yellow"/>
        </w:rPr>
        <w:fldChar w:fldCharType="end"/>
      </w:r>
      <w:r>
        <w:t xml:space="preserve">, there was a downward trend in the number of placement allowances provided across the 5CPA with a slight increase in 2015. The total number of placement allowances provided to students decreased by 51% from 731 in 2011 to 373 in 2014 and increased slightly to 389 in 2015. </w:t>
      </w:r>
    </w:p>
    <w:p w14:paraId="05C86343" w14:textId="3DE323D9" w:rsidR="00B21EAA" w:rsidRPr="006C62E9" w:rsidRDefault="00B21EAA" w:rsidP="00B21EAA">
      <w:pPr>
        <w:pStyle w:val="Caption"/>
        <w:rPr>
          <w:rStyle w:val="Captionnotbold"/>
        </w:rPr>
      </w:pPr>
      <w:bookmarkStart w:id="34" w:name="_Ref487530069"/>
      <w:r>
        <w:lastRenderedPageBreak/>
        <w:t xml:space="preserve">Figure </w:t>
      </w:r>
      <w:r w:rsidR="00BC6E6C">
        <w:rPr>
          <w:noProof/>
        </w:rPr>
        <w:fldChar w:fldCharType="begin"/>
      </w:r>
      <w:r w:rsidR="00BC6E6C">
        <w:rPr>
          <w:noProof/>
        </w:rPr>
        <w:instrText xml:space="preserve"> STYLEREF 1 \s </w:instrText>
      </w:r>
      <w:r w:rsidR="00BC6E6C">
        <w:rPr>
          <w:noProof/>
        </w:rPr>
        <w:fldChar w:fldCharType="separate"/>
      </w:r>
      <w:r w:rsidR="00910E65">
        <w:rPr>
          <w:noProof/>
        </w:rPr>
        <w:t>2</w:t>
      </w:r>
      <w:r w:rsidR="00BC6E6C">
        <w:rPr>
          <w:noProof/>
        </w:rPr>
        <w:fldChar w:fldCharType="end"/>
      </w:r>
      <w:r w:rsidR="00181D4C">
        <w:t>.</w:t>
      </w:r>
      <w:r w:rsidR="00BC6E6C">
        <w:rPr>
          <w:noProof/>
        </w:rPr>
        <w:fldChar w:fldCharType="begin"/>
      </w:r>
      <w:r w:rsidR="00BC6E6C">
        <w:rPr>
          <w:noProof/>
        </w:rPr>
        <w:instrText xml:space="preserve"> SEQ Figure \* ARABIC \s 1 </w:instrText>
      </w:r>
      <w:r w:rsidR="00BC6E6C">
        <w:rPr>
          <w:noProof/>
        </w:rPr>
        <w:fldChar w:fldCharType="separate"/>
      </w:r>
      <w:r w:rsidR="00910E65">
        <w:rPr>
          <w:noProof/>
        </w:rPr>
        <w:t>3</w:t>
      </w:r>
      <w:r w:rsidR="00BC6E6C">
        <w:rPr>
          <w:noProof/>
        </w:rPr>
        <w:fldChar w:fldCharType="end"/>
      </w:r>
      <w:bookmarkEnd w:id="34"/>
      <w:r>
        <w:t xml:space="preserve">: </w:t>
      </w:r>
      <w:r>
        <w:rPr>
          <w:rStyle w:val="Captionnotbold"/>
        </w:rPr>
        <w:t>Total placement allowances provided over 5CPA</w:t>
      </w:r>
    </w:p>
    <w:p w14:paraId="7394C6CC" w14:textId="77777777" w:rsidR="00B21EAA" w:rsidRDefault="00B21EAA" w:rsidP="00B21EAA">
      <w:pPr>
        <w:pStyle w:val="BodyCopy"/>
        <w:keepNext/>
        <w:jc w:val="center"/>
      </w:pPr>
      <w:r>
        <w:rPr>
          <w:noProof/>
          <w:lang w:eastAsia="en-AU"/>
        </w:rPr>
        <w:drawing>
          <wp:inline distT="0" distB="0" distL="0" distR="0" wp14:anchorId="581ACFBC" wp14:editId="50A15FE8">
            <wp:extent cx="4486910" cy="2694940"/>
            <wp:effectExtent l="0" t="0" r="8890" b="0"/>
            <wp:docPr id="4" name="Picture 4" descr="Figure 2.3 Bar graph showing total placement allowances provided over 5C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86910" cy="2694940"/>
                    </a:xfrm>
                    <a:prstGeom prst="rect">
                      <a:avLst/>
                    </a:prstGeom>
                    <a:noFill/>
                  </pic:spPr>
                </pic:pic>
              </a:graphicData>
            </a:graphic>
          </wp:inline>
        </w:drawing>
      </w:r>
    </w:p>
    <w:p w14:paraId="2D9B6890" w14:textId="77777777" w:rsidR="00B21EAA" w:rsidRPr="006D0F77" w:rsidRDefault="00B21EAA" w:rsidP="00E76ECE">
      <w:pPr>
        <w:pStyle w:val="Heading3"/>
      </w:pPr>
      <w:bookmarkStart w:id="35" w:name="_Ref487782339"/>
      <w:bookmarkStart w:id="36" w:name="_Ref487782965"/>
      <w:bookmarkStart w:id="37" w:name="_Toc523318807"/>
      <w:r w:rsidRPr="006D0F77">
        <w:t>Evaluation findings</w:t>
      </w:r>
      <w:bookmarkEnd w:id="35"/>
      <w:bookmarkEnd w:id="36"/>
      <w:bookmarkEnd w:id="37"/>
    </w:p>
    <w:p w14:paraId="3E0717E2" w14:textId="77777777" w:rsidR="00B21EAA" w:rsidRPr="0082020E" w:rsidRDefault="00B21EAA" w:rsidP="00E76ECE">
      <w:pPr>
        <w:pStyle w:val="Heading4"/>
      </w:pPr>
      <w:r w:rsidRPr="0082020E">
        <w:t>Appropriateness</w:t>
      </w:r>
    </w:p>
    <w:p w14:paraId="312BFC17" w14:textId="3FACC5E4" w:rsidR="00B21EAA" w:rsidRDefault="00B21EAA" w:rsidP="00B21EAA">
      <w:pPr>
        <w:pStyle w:val="BodyCopy"/>
      </w:pPr>
      <w:r>
        <w:t>Time spent in rural areas prior to graduation has a positive effect on health professionals’ intention to practise rurally.</w:t>
      </w:r>
      <w:sdt>
        <w:sdtPr>
          <w:id w:val="-2070019835"/>
          <w:citation/>
        </w:sdtPr>
        <w:sdtContent>
          <w:r>
            <w:fldChar w:fldCharType="begin"/>
          </w:r>
          <w:r>
            <w:instrText xml:space="preserve"> CITATION Hen09 \l 3081  \m Pea04 \m Fle11</w:instrText>
          </w:r>
          <w:r>
            <w:fldChar w:fldCharType="separate"/>
          </w:r>
          <w:r w:rsidR="0089011F">
            <w:rPr>
              <w:noProof/>
            </w:rPr>
            <w:t xml:space="preserve"> </w:t>
          </w:r>
          <w:r w:rsidR="0089011F" w:rsidRPr="0089011F">
            <w:rPr>
              <w:noProof/>
            </w:rPr>
            <w:t>[10, 21, 22]</w:t>
          </w:r>
          <w:r>
            <w:fldChar w:fldCharType="end"/>
          </w:r>
        </w:sdtContent>
      </w:sdt>
      <w:r>
        <w:t xml:space="preserve"> The literature scan identified a number of studies exploring this effect within the context of placements. A longitudinal study of nursing and allied health graduates who had undertaken a rural placement during their studies found 25% of graduates had entered the rural workforce in the 6 </w:t>
      </w:r>
      <w:r w:rsidR="009D7B7E">
        <w:t xml:space="preserve">to </w:t>
      </w:r>
      <w:r>
        <w:t>20 months post-graduation.</w:t>
      </w:r>
      <w:sdt>
        <w:sdtPr>
          <w:id w:val="1462001502"/>
          <w:citation/>
        </w:sdtPr>
        <w:sdtContent>
          <w:r>
            <w:fldChar w:fldCharType="begin"/>
          </w:r>
          <w:r>
            <w:instrText xml:space="preserve"> CITATION Pla06 \l 3081 </w:instrText>
          </w:r>
          <w:r>
            <w:fldChar w:fldCharType="separate"/>
          </w:r>
          <w:r w:rsidR="0089011F">
            <w:rPr>
              <w:noProof/>
            </w:rPr>
            <w:t xml:space="preserve"> </w:t>
          </w:r>
          <w:r w:rsidR="0089011F" w:rsidRPr="0089011F">
            <w:rPr>
              <w:noProof/>
            </w:rPr>
            <w:t>[29]</w:t>
          </w:r>
          <w:r>
            <w:fldChar w:fldCharType="end"/>
          </w:r>
        </w:sdtContent>
      </w:sdt>
      <w:r>
        <w:t xml:space="preserve"> Factors significantly positively associated with rural </w:t>
      </w:r>
      <w:r w:rsidR="009D7B7E">
        <w:t xml:space="preserve">practice </w:t>
      </w:r>
      <w:r>
        <w:t xml:space="preserve">included self-reported value of the placement and duration of placement of four weeks or less. The latter finding indicates shorter placements may be more effective than longer, more costly placements as they minimise negative non-work-related factors (e.g. time away from friends and family) while exposing students to rural </w:t>
      </w:r>
      <w:r w:rsidR="009D7B7E">
        <w:t>practice</w:t>
      </w:r>
      <w:r>
        <w:t xml:space="preserve">.  </w:t>
      </w:r>
    </w:p>
    <w:p w14:paraId="7F72C0AA" w14:textId="651655A9" w:rsidR="00B21EAA" w:rsidRDefault="00B21EAA" w:rsidP="00B21EAA">
      <w:pPr>
        <w:pStyle w:val="BodyCopy"/>
      </w:pPr>
      <w:r>
        <w:t xml:space="preserve">A survey of graduating health science students who had participated in a rural placement program in Tasmania identified </w:t>
      </w:r>
      <w:r w:rsidR="009D7B7E">
        <w:t xml:space="preserve">that </w:t>
      </w:r>
      <w:r>
        <w:t xml:space="preserve">rural placements had a positive impact on students’ intention to practise rurally. </w:t>
      </w:r>
      <w:sdt>
        <w:sdtPr>
          <w:id w:val="-2086596706"/>
          <w:citation/>
        </w:sdtPr>
        <w:sdtContent>
          <w:r>
            <w:fldChar w:fldCharType="begin"/>
          </w:r>
          <w:r>
            <w:instrText xml:space="preserve"> CITATION Dal08 \l 3081 </w:instrText>
          </w:r>
          <w:r>
            <w:fldChar w:fldCharType="separate"/>
          </w:r>
          <w:r w:rsidR="0089011F" w:rsidRPr="0089011F">
            <w:rPr>
              <w:noProof/>
            </w:rPr>
            <w:t>[30]</w:t>
          </w:r>
          <w:r>
            <w:fldChar w:fldCharType="end"/>
          </w:r>
        </w:sdtContent>
      </w:sdt>
      <w:r>
        <w:t xml:space="preserve"> After placement, nursing, medicine and allied health students expressed significantly increased intention to practise rurally. The effect was not significant for pharmacy students, which opposes findings of other studies discussed previously.</w:t>
      </w:r>
      <w:sdt>
        <w:sdtPr>
          <w:id w:val="-463041581"/>
          <w:citation/>
        </w:sdtPr>
        <w:sdtContent>
          <w:r>
            <w:fldChar w:fldCharType="begin"/>
          </w:r>
          <w:r>
            <w:instrText xml:space="preserve"> CITATION Fle11 \l 3081 </w:instrText>
          </w:r>
          <w:r>
            <w:fldChar w:fldCharType="separate"/>
          </w:r>
          <w:r w:rsidR="0089011F">
            <w:rPr>
              <w:noProof/>
            </w:rPr>
            <w:t xml:space="preserve"> </w:t>
          </w:r>
          <w:r w:rsidR="0089011F" w:rsidRPr="0089011F">
            <w:rPr>
              <w:noProof/>
            </w:rPr>
            <w:t>[22]</w:t>
          </w:r>
          <w:r>
            <w:fldChar w:fldCharType="end"/>
          </w:r>
        </w:sdtContent>
      </w:sdt>
      <w:r>
        <w:t xml:space="preserve"> </w:t>
      </w:r>
    </w:p>
    <w:p w14:paraId="70563071" w14:textId="77777777" w:rsidR="00B21EAA" w:rsidRDefault="00B21EAA" w:rsidP="00B21EAA">
      <w:pPr>
        <w:pStyle w:val="BodyCopy"/>
      </w:pPr>
      <w:r>
        <w:t>It is important to note this study did not measure actual employment in rural areas, but rather the intention to practise rurally.</w:t>
      </w:r>
    </w:p>
    <w:p w14:paraId="358D5477" w14:textId="41EFB94A" w:rsidR="00B21EAA" w:rsidRDefault="00B21EAA" w:rsidP="00B21EAA">
      <w:pPr>
        <w:pStyle w:val="BodyCopy"/>
      </w:pPr>
      <w:r>
        <w:t>Other programs recognise the significant financial burden associated with undertaking a rural placement. Comparable programs include the Rural Health Multidisciplinary Training Program and the John Flynn Placement Program. These programs cover the cost of travel and accommodation</w:t>
      </w:r>
      <w:r w:rsidR="009D7B7E">
        <w:t>,</w:t>
      </w:r>
      <w:r>
        <w:t xml:space="preserve"> which present a barrier for students on a low income. </w:t>
      </w:r>
    </w:p>
    <w:p w14:paraId="09EE24FD" w14:textId="7119A93B" w:rsidR="00B21EAA" w:rsidRDefault="00B21EAA" w:rsidP="00453658">
      <w:pPr>
        <w:pStyle w:val="Appropriatenessassessment"/>
      </w:pPr>
      <w:r>
        <w:t xml:space="preserve">The promotion of rural placements as a means to increase </w:t>
      </w:r>
      <w:r w:rsidR="009D7B7E">
        <w:t xml:space="preserve">students’ </w:t>
      </w:r>
      <w:r>
        <w:t xml:space="preserve">exposure to and interest in rural </w:t>
      </w:r>
      <w:r w:rsidR="009D7B7E">
        <w:t xml:space="preserve">practice </w:t>
      </w:r>
      <w:r>
        <w:t>is supported by literature. The financial burden experienced by students can be a barrier to completing a rural placement and is addressed by this program.</w:t>
      </w:r>
    </w:p>
    <w:p w14:paraId="100DA387" w14:textId="77777777" w:rsidR="00B21EAA" w:rsidRDefault="00B21EAA" w:rsidP="00E76ECE">
      <w:pPr>
        <w:pStyle w:val="Heading4"/>
      </w:pPr>
      <w:r w:rsidRPr="0082020E">
        <w:t>Effectiveness</w:t>
      </w:r>
    </w:p>
    <w:p w14:paraId="76472C8F" w14:textId="3D5AFA62" w:rsidR="00B21EAA" w:rsidRDefault="00B21EAA" w:rsidP="00B21EAA">
      <w:pPr>
        <w:pStyle w:val="BodyCopy"/>
      </w:pPr>
      <w:r>
        <w:t xml:space="preserve">As shown previously in </w:t>
      </w:r>
      <w:r>
        <w:fldChar w:fldCharType="begin"/>
      </w:r>
      <w:r>
        <w:instrText xml:space="preserve"> REF _Ref487530069 \h </w:instrText>
      </w:r>
      <w:r>
        <w:fldChar w:fldCharType="separate"/>
      </w:r>
      <w:r w:rsidR="00910E65">
        <w:t xml:space="preserve">Figure </w:t>
      </w:r>
      <w:r w:rsidR="00910E65">
        <w:rPr>
          <w:noProof/>
        </w:rPr>
        <w:t>2</w:t>
      </w:r>
      <w:r w:rsidR="00910E65">
        <w:t>.</w:t>
      </w:r>
      <w:r w:rsidR="00910E65">
        <w:rPr>
          <w:noProof/>
        </w:rPr>
        <w:t>3</w:t>
      </w:r>
      <w:r>
        <w:fldChar w:fldCharType="end"/>
      </w:r>
      <w:r>
        <w:t>, the total number of placement allowances provided by universities dipped significantly during the 5CPA before increasing slightly in 2015. The most significant reduction in placement allowances occurred between 2012</w:t>
      </w:r>
      <w:r w:rsidR="009D7B7E">
        <w:t xml:space="preserve"> and </w:t>
      </w:r>
      <w:r>
        <w:t>2013 calendar years. This is in line with a significant reduction in pharmacy course enrolments. However, the total number of enrolments in pharmacy courses gener</w:t>
      </w:r>
      <w:r w:rsidR="00F25007">
        <w:t xml:space="preserve">ally increased across the 5CPA. </w:t>
      </w:r>
      <w:r w:rsidR="00F25007">
        <w:fldChar w:fldCharType="begin"/>
      </w:r>
      <w:r w:rsidR="00F25007">
        <w:instrText xml:space="preserve"> REF _Ref488241740 \h </w:instrText>
      </w:r>
      <w:r w:rsidR="00F25007">
        <w:fldChar w:fldCharType="separate"/>
      </w:r>
      <w:r w:rsidR="00910E65">
        <w:t xml:space="preserve">Figure </w:t>
      </w:r>
      <w:r w:rsidR="00910E65">
        <w:rPr>
          <w:noProof/>
        </w:rPr>
        <w:t>2</w:t>
      </w:r>
      <w:r w:rsidR="00910E65">
        <w:t>.</w:t>
      </w:r>
      <w:r w:rsidR="00910E65">
        <w:rPr>
          <w:noProof/>
        </w:rPr>
        <w:t>4</w:t>
      </w:r>
      <w:r w:rsidR="00F25007">
        <w:fldChar w:fldCharType="end"/>
      </w:r>
      <w:r w:rsidR="00F25007">
        <w:t xml:space="preserve"> i</w:t>
      </w:r>
      <w:r>
        <w:t>llustrates the general increase in pharmacy course enrolments over the 5CPA compared to the decrease in placement allowances paid. Currently available data is not sufficiently detailed to understand the decline in allowances. However, potential reasons may include changes to program rules or budget or university-level changes to curricula including the removal of compulsory rural placements after 2012. Only three of the ten universities consulted included compulsory rural placements in the curricula.</w:t>
      </w:r>
    </w:p>
    <w:p w14:paraId="70CC89D8" w14:textId="4FFFFD3D" w:rsidR="00181D4C" w:rsidRDefault="00181D4C" w:rsidP="00181D4C">
      <w:pPr>
        <w:pStyle w:val="Caption"/>
      </w:pPr>
      <w:bookmarkStart w:id="38" w:name="_Ref488241740"/>
      <w:r>
        <w:lastRenderedPageBreak/>
        <w:t xml:space="preserve">Figure </w:t>
      </w:r>
      <w:r w:rsidR="00BC6E6C">
        <w:rPr>
          <w:noProof/>
        </w:rPr>
        <w:fldChar w:fldCharType="begin"/>
      </w:r>
      <w:r w:rsidR="00BC6E6C">
        <w:rPr>
          <w:noProof/>
        </w:rPr>
        <w:instrText xml:space="preserve"> STYLEREF 1 \s </w:instrText>
      </w:r>
      <w:r w:rsidR="00BC6E6C">
        <w:rPr>
          <w:noProof/>
        </w:rPr>
        <w:fldChar w:fldCharType="separate"/>
      </w:r>
      <w:r w:rsidR="00910E65">
        <w:rPr>
          <w:noProof/>
        </w:rPr>
        <w:t>2</w:t>
      </w:r>
      <w:r w:rsidR="00BC6E6C">
        <w:rPr>
          <w:noProof/>
        </w:rPr>
        <w:fldChar w:fldCharType="end"/>
      </w:r>
      <w:r>
        <w:t>.</w:t>
      </w:r>
      <w:r w:rsidR="00BC6E6C">
        <w:rPr>
          <w:noProof/>
        </w:rPr>
        <w:fldChar w:fldCharType="begin"/>
      </w:r>
      <w:r w:rsidR="00BC6E6C">
        <w:rPr>
          <w:noProof/>
        </w:rPr>
        <w:instrText xml:space="preserve"> SEQ Figure \* ARABIC \s 1 </w:instrText>
      </w:r>
      <w:r w:rsidR="00BC6E6C">
        <w:rPr>
          <w:noProof/>
        </w:rPr>
        <w:fldChar w:fldCharType="separate"/>
      </w:r>
      <w:r w:rsidR="00910E65">
        <w:rPr>
          <w:noProof/>
        </w:rPr>
        <w:t>4</w:t>
      </w:r>
      <w:r w:rsidR="00BC6E6C">
        <w:rPr>
          <w:noProof/>
        </w:rPr>
        <w:fldChar w:fldCharType="end"/>
      </w:r>
      <w:bookmarkEnd w:id="38"/>
      <w:r>
        <w:t xml:space="preserve">: </w:t>
      </w:r>
      <w:r>
        <w:rPr>
          <w:rStyle w:val="Captionnotbold"/>
        </w:rPr>
        <w:t>Total pharmacy course enrolment and rural placement allowances over 5CPA</w:t>
      </w:r>
    </w:p>
    <w:p w14:paraId="4F7A1505" w14:textId="77777777" w:rsidR="00B21EAA" w:rsidRPr="00117B41" w:rsidRDefault="00B21EAA" w:rsidP="00B21EAA">
      <w:pPr>
        <w:pStyle w:val="BodyCopy"/>
        <w:jc w:val="center"/>
      </w:pPr>
      <w:r>
        <w:rPr>
          <w:noProof/>
          <w:lang w:eastAsia="en-AU"/>
        </w:rPr>
        <w:drawing>
          <wp:inline distT="0" distB="0" distL="0" distR="0" wp14:anchorId="7C601B7B" wp14:editId="3EB2CB1F">
            <wp:extent cx="4048125" cy="2548255"/>
            <wp:effectExtent l="0" t="0" r="9525" b="4445"/>
            <wp:docPr id="47" name="Picture 47" descr="Figure 2.4 Area graph showing total pharmacy course enrolment and rural placement allowances over 5C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48125" cy="2548255"/>
                    </a:xfrm>
                    <a:prstGeom prst="rect">
                      <a:avLst/>
                    </a:prstGeom>
                    <a:noFill/>
                  </pic:spPr>
                </pic:pic>
              </a:graphicData>
            </a:graphic>
          </wp:inline>
        </w:drawing>
      </w:r>
    </w:p>
    <w:p w14:paraId="62A91051" w14:textId="04803269" w:rsidR="00232710" w:rsidRDefault="00232710" w:rsidP="00232710">
      <w:pPr>
        <w:pStyle w:val="BodyCopy"/>
      </w:pPr>
      <w:r>
        <w:fldChar w:fldCharType="begin"/>
      </w:r>
      <w:r>
        <w:instrText xml:space="preserve"> REF _Ref488241740 \h </w:instrText>
      </w:r>
      <w:r>
        <w:fldChar w:fldCharType="separate"/>
      </w:r>
      <w:r w:rsidR="00910E65">
        <w:t xml:space="preserve">Figure </w:t>
      </w:r>
      <w:r w:rsidR="00910E65">
        <w:rPr>
          <w:noProof/>
        </w:rPr>
        <w:t>2</w:t>
      </w:r>
      <w:r w:rsidR="00910E65">
        <w:t>.</w:t>
      </w:r>
      <w:r w:rsidR="00910E65">
        <w:rPr>
          <w:noProof/>
        </w:rPr>
        <w:t>4</w:t>
      </w:r>
      <w:r>
        <w:fldChar w:fldCharType="end"/>
      </w:r>
      <w:r>
        <w:t xml:space="preserve"> shows that enrolment in pharmacy courses far outstrips the number of rural placement allowances paid each year. On average, only 9% of pharmacy students across all universities were paid a rural placement allowance. Audited financial statements from 2013–14 and 2014–15 financial years show the allocated program budget of </w:t>
      </w:r>
      <w:r>
        <w:rPr>
          <w:rFonts w:ascii="Times New Roman" w:hAnsi="Times New Roman"/>
        </w:rPr>
        <w:t>$</w:t>
      </w:r>
      <w:r>
        <w:t xml:space="preserve">650,000 per annum was usually entirely spent, indicating all available placement allowances were paid. </w:t>
      </w:r>
    </w:p>
    <w:p w14:paraId="19855243" w14:textId="19E72556" w:rsidR="00B21EAA" w:rsidRDefault="00B21EAA" w:rsidP="00B21EAA">
      <w:pPr>
        <w:pStyle w:val="BodyCopy"/>
      </w:pPr>
      <w:r>
        <w:fldChar w:fldCharType="begin"/>
      </w:r>
      <w:r>
        <w:instrText xml:space="preserve"> REF _Ref487558872 \h </w:instrText>
      </w:r>
      <w:r>
        <w:fldChar w:fldCharType="separate"/>
      </w:r>
      <w:r w:rsidR="00910E65">
        <w:t xml:space="preserve">Figure </w:t>
      </w:r>
      <w:r w:rsidR="00910E65">
        <w:rPr>
          <w:noProof/>
        </w:rPr>
        <w:t>2</w:t>
      </w:r>
      <w:r w:rsidR="00910E65">
        <w:t>.</w:t>
      </w:r>
      <w:r w:rsidR="00910E65">
        <w:rPr>
          <w:noProof/>
        </w:rPr>
        <w:t>5</w:t>
      </w:r>
      <w:r>
        <w:fldChar w:fldCharType="end"/>
      </w:r>
      <w:r>
        <w:t xml:space="preserve"> shows the total placement allowances paid across the 5CPA as a proportion of total enrolments. Universities that have a </w:t>
      </w:r>
      <w:r w:rsidR="009D7B7E">
        <w:t>Rural Pharmacy Liaison Officer (</w:t>
      </w:r>
      <w:r>
        <w:t>RPLO</w:t>
      </w:r>
      <w:r w:rsidR="009D7B7E">
        <w:t>)</w:t>
      </w:r>
      <w:r>
        <w:t xml:space="preserve"> contract are highlighted in dark grey. Universities with an RPLO contract tend to have higher proportions of placement allowances. However, this trend is weakened by a number of limitations including incomplete enrolment data. Further, universities with low enrolments (e.g. UTS, University of Canberra) tended to have high proportions of pl</w:t>
      </w:r>
      <w:r w:rsidR="006D0F77">
        <w:t>acement allowances. While Lat</w:t>
      </w:r>
      <w:r>
        <w:t>robe University does not have a</w:t>
      </w:r>
      <w:r w:rsidR="009D7B7E">
        <w:t>n</w:t>
      </w:r>
      <w:r>
        <w:t xml:space="preserve"> RPLO contract, it has a focus on rural pharmacy and compulsory rural placements. </w:t>
      </w:r>
    </w:p>
    <w:p w14:paraId="2AB187F8" w14:textId="7D283075" w:rsidR="00B21EAA" w:rsidRPr="00017248" w:rsidRDefault="00B21EAA" w:rsidP="00B21EAA">
      <w:pPr>
        <w:pStyle w:val="Caption"/>
        <w:rPr>
          <w:rStyle w:val="Captionnotbold"/>
        </w:rPr>
      </w:pPr>
      <w:bookmarkStart w:id="39" w:name="_Ref487558872"/>
      <w:r>
        <w:t xml:space="preserve">Figure </w:t>
      </w:r>
      <w:r w:rsidR="00BC6E6C">
        <w:rPr>
          <w:noProof/>
        </w:rPr>
        <w:fldChar w:fldCharType="begin"/>
      </w:r>
      <w:r w:rsidR="00BC6E6C">
        <w:rPr>
          <w:noProof/>
        </w:rPr>
        <w:instrText xml:space="preserve"> STYLEREF 1 \s </w:instrText>
      </w:r>
      <w:r w:rsidR="00BC6E6C">
        <w:rPr>
          <w:noProof/>
        </w:rPr>
        <w:fldChar w:fldCharType="separate"/>
      </w:r>
      <w:r w:rsidR="00910E65">
        <w:rPr>
          <w:noProof/>
        </w:rPr>
        <w:t>2</w:t>
      </w:r>
      <w:r w:rsidR="00BC6E6C">
        <w:rPr>
          <w:noProof/>
        </w:rPr>
        <w:fldChar w:fldCharType="end"/>
      </w:r>
      <w:r w:rsidR="00181D4C">
        <w:t>.</w:t>
      </w:r>
      <w:r w:rsidR="00BC6E6C">
        <w:rPr>
          <w:noProof/>
        </w:rPr>
        <w:fldChar w:fldCharType="begin"/>
      </w:r>
      <w:r w:rsidR="00BC6E6C">
        <w:rPr>
          <w:noProof/>
        </w:rPr>
        <w:instrText xml:space="preserve"> SEQ Figure \* ARABIC \s 1 </w:instrText>
      </w:r>
      <w:r w:rsidR="00BC6E6C">
        <w:rPr>
          <w:noProof/>
        </w:rPr>
        <w:fldChar w:fldCharType="separate"/>
      </w:r>
      <w:r w:rsidR="00910E65">
        <w:rPr>
          <w:noProof/>
        </w:rPr>
        <w:t>5</w:t>
      </w:r>
      <w:r w:rsidR="00BC6E6C">
        <w:rPr>
          <w:noProof/>
        </w:rPr>
        <w:fldChar w:fldCharType="end"/>
      </w:r>
      <w:bookmarkEnd w:id="39"/>
      <w:r>
        <w:t xml:space="preserve">: </w:t>
      </w:r>
      <w:r>
        <w:rPr>
          <w:rStyle w:val="Captionnotbold"/>
        </w:rPr>
        <w:t>Placement allowances paid as a proportion of total enrolments, by university</w:t>
      </w:r>
    </w:p>
    <w:p w14:paraId="77B9EE56" w14:textId="77777777" w:rsidR="00B21EAA" w:rsidRDefault="00B21EAA" w:rsidP="00B21EAA">
      <w:pPr>
        <w:pStyle w:val="BodyCopy"/>
      </w:pPr>
      <w:r>
        <w:rPr>
          <w:noProof/>
          <w:lang w:eastAsia="en-AU"/>
        </w:rPr>
        <w:drawing>
          <wp:inline distT="0" distB="0" distL="0" distR="0" wp14:anchorId="6160330E" wp14:editId="64EEB5C1">
            <wp:extent cx="4472940" cy="2683510"/>
            <wp:effectExtent l="0" t="0" r="3810" b="2540"/>
            <wp:docPr id="1" name="Chart 1" descr="Figure 2.5 Bar graph showing placement allowances paid as a proportion of total enrolments, by university"/>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19BCB2A" w14:textId="5377C02D" w:rsidR="00B21EAA" w:rsidRDefault="00B21EAA" w:rsidP="00B21EAA">
      <w:pPr>
        <w:pStyle w:val="BodyCopy"/>
      </w:pPr>
      <w:r>
        <w:t>Placement data is not sufficiently granular to compare the number of students who undertook rural placements versus the number of students who received an allowance. However, feedback from placement coordinators indicate</w:t>
      </w:r>
      <w:r w:rsidR="00716510">
        <w:t>s</w:t>
      </w:r>
      <w:r>
        <w:t xml:space="preserve"> only students who receive the allowance are able to undertake a rural placement. </w:t>
      </w:r>
    </w:p>
    <w:p w14:paraId="70CDD5EF" w14:textId="04572340" w:rsidR="00B21EAA" w:rsidRDefault="00B21EAA" w:rsidP="00B21EAA">
      <w:pPr>
        <w:pStyle w:val="BodyCopy"/>
      </w:pPr>
      <w:r>
        <w:t>Most peak body stakeholders consulted endorsed the support of students to undertake rural placements, as this experience is considered important</w:t>
      </w:r>
      <w:r w:rsidRPr="00424D63">
        <w:t xml:space="preserve"> in influencing students’ perception of rural </w:t>
      </w:r>
      <w:r w:rsidR="00716510" w:rsidRPr="00424D63">
        <w:t>practi</w:t>
      </w:r>
      <w:r w:rsidR="00716510">
        <w:t>c</w:t>
      </w:r>
      <w:r w:rsidR="00716510" w:rsidRPr="00424D63">
        <w:t xml:space="preserve">e </w:t>
      </w:r>
      <w:r w:rsidRPr="00424D63">
        <w:t>during the formative phase of their career</w:t>
      </w:r>
      <w:r>
        <w:t xml:space="preserve">. </w:t>
      </w:r>
      <w:r w:rsidRPr="00424D63">
        <w:t xml:space="preserve">Two stakeholders noted that rural placements with sufficient support and planning have better outcomes for recruitment, a point supported by literature. One stakeholder suggested support and placement planning is best provided by </w:t>
      </w:r>
      <w:r>
        <w:t>RPLOs</w:t>
      </w:r>
      <w:r w:rsidRPr="00424D63">
        <w:t>.</w:t>
      </w:r>
      <w:r>
        <w:t xml:space="preserve"> </w:t>
      </w:r>
    </w:p>
    <w:p w14:paraId="23951D33" w14:textId="577D6838" w:rsidR="00B21EAA" w:rsidRPr="00424D63" w:rsidRDefault="00B21EAA" w:rsidP="00B21EAA">
      <w:pPr>
        <w:pStyle w:val="BodyCopy"/>
      </w:pPr>
      <w:r>
        <w:t>Consultations with students completing rural placements identified strong support for the Placement Allowance program</w:t>
      </w:r>
      <w:r w:rsidR="00716510">
        <w:t>,</w:t>
      </w:r>
      <w:r>
        <w:t xml:space="preserve"> as the availability of the allowance was a deciding factor for students to undertake a rural placement. </w:t>
      </w:r>
    </w:p>
    <w:p w14:paraId="2A8DEC3E" w14:textId="1DF00D44" w:rsidR="00B21EAA" w:rsidRDefault="00B21EAA" w:rsidP="00B21EAA">
      <w:pPr>
        <w:pStyle w:val="BodyCopy"/>
      </w:pPr>
      <w:r>
        <w:lastRenderedPageBreak/>
        <w:t xml:space="preserve">Currently available data does not allow for investigation of the proportion of students who undertake a rural placement </w:t>
      </w:r>
      <w:r w:rsidR="00716510">
        <w:t xml:space="preserve">and who </w:t>
      </w:r>
      <w:r>
        <w:t xml:space="preserve">go on to practise in a rural or remote area. </w:t>
      </w:r>
    </w:p>
    <w:p w14:paraId="21ACE1A3" w14:textId="21674D02" w:rsidR="00B21EAA" w:rsidRDefault="00B21EAA" w:rsidP="00453658">
      <w:pPr>
        <w:pStyle w:val="Effectiveness"/>
      </w:pPr>
      <w:r>
        <w:t>The number of students who received a placement allowance decreased over the 5CPA</w:t>
      </w:r>
      <w:r w:rsidR="00716510">
        <w:t>,</w:t>
      </w:r>
      <w:r>
        <w:t xml:space="preserve"> despite increases in the number of students enrolled in pharmacy courses. The proportion of students who receive an allowance has remained low across the 5CPA when compared to the total number of enrolled students. </w:t>
      </w:r>
    </w:p>
    <w:p w14:paraId="0058FF43" w14:textId="333BB79F" w:rsidR="00B21EAA" w:rsidRDefault="00B21EAA" w:rsidP="00453658">
      <w:pPr>
        <w:pStyle w:val="Effectiveness"/>
      </w:pPr>
      <w:r>
        <w:t>Students who received the allowance</w:t>
      </w:r>
      <w:r w:rsidR="00716510">
        <w:t>,</w:t>
      </w:r>
      <w:r>
        <w:t xml:space="preserve"> as well as university placement officers</w:t>
      </w:r>
      <w:r w:rsidR="00716510">
        <w:t>,</w:t>
      </w:r>
      <w:r>
        <w:t xml:space="preserve"> stated students generally would not complete a rural placement without access to the allowance. </w:t>
      </w:r>
    </w:p>
    <w:p w14:paraId="71456708" w14:textId="77777777" w:rsidR="00B21EAA" w:rsidRDefault="00B21EAA" w:rsidP="00E76ECE">
      <w:pPr>
        <w:pStyle w:val="Heading4"/>
      </w:pPr>
      <w:r w:rsidRPr="0082020E">
        <w:t>Efficiency</w:t>
      </w:r>
    </w:p>
    <w:p w14:paraId="0E8E98DE" w14:textId="4AADED13" w:rsidR="006D0F77" w:rsidRPr="00485FF9" w:rsidRDefault="00BD1431" w:rsidP="00485FF9">
      <w:pPr>
        <w:pStyle w:val="BodyCopy"/>
        <w:rPr>
          <w:rFonts w:ascii="Garamond" w:eastAsia="Times New Roman" w:hAnsi="Garamond"/>
          <w:color w:val="000000"/>
          <w:spacing w:val="0"/>
          <w:szCs w:val="22"/>
          <w:lang w:eastAsia="en-AU"/>
        </w:rPr>
      </w:pPr>
      <w:r w:rsidRPr="00485FF9">
        <w:t xml:space="preserve">As program funds are distributed to 16 universities, a unit of service delivery was considered to be one </w:t>
      </w:r>
      <w:r w:rsidR="00485FF9" w:rsidRPr="00485FF9">
        <w:t>university. P</w:t>
      </w:r>
      <w:r w:rsidRPr="00485FF9">
        <w:t xml:space="preserve">rogram expenditure </w:t>
      </w:r>
      <w:r w:rsidR="00485FF9" w:rsidRPr="00485FF9">
        <w:t>for</w:t>
      </w:r>
      <w:r w:rsidRPr="00485FF9">
        <w:t xml:space="preserve"> the two financial years for which data was available was</w:t>
      </w:r>
      <w:r w:rsidR="00485FF9" w:rsidRPr="00485FF9">
        <w:t xml:space="preserve"> </w:t>
      </w:r>
      <w:r w:rsidR="00485FF9">
        <w:rPr>
          <w:rFonts w:ascii="Times New Roman" w:eastAsia="Times New Roman" w:hAnsi="Times New Roman"/>
          <w:color w:val="000000"/>
          <w:spacing w:val="0"/>
          <w:szCs w:val="22"/>
          <w:lang w:eastAsia="en-AU"/>
        </w:rPr>
        <w:t>$</w:t>
      </w:r>
      <w:r w:rsidR="00485FF9" w:rsidRPr="00485FF9">
        <w:rPr>
          <w:rFonts w:ascii="Garamond" w:eastAsia="Times New Roman" w:hAnsi="Garamond"/>
          <w:color w:val="000000"/>
          <w:spacing w:val="0"/>
          <w:szCs w:val="22"/>
          <w:lang w:eastAsia="en-AU"/>
        </w:rPr>
        <w:t>633,383.00 in 2013</w:t>
      </w:r>
      <w:r w:rsidR="00716510">
        <w:rPr>
          <w:rFonts w:ascii="Garamond" w:eastAsia="Times New Roman" w:hAnsi="Garamond"/>
          <w:color w:val="000000"/>
          <w:spacing w:val="0"/>
          <w:szCs w:val="22"/>
          <w:lang w:eastAsia="en-AU"/>
        </w:rPr>
        <w:t>–</w:t>
      </w:r>
      <w:r w:rsidR="00485FF9" w:rsidRPr="00485FF9">
        <w:rPr>
          <w:rFonts w:ascii="Garamond" w:eastAsia="Times New Roman" w:hAnsi="Garamond"/>
          <w:color w:val="000000"/>
          <w:spacing w:val="0"/>
          <w:szCs w:val="22"/>
          <w:lang w:eastAsia="en-AU"/>
        </w:rPr>
        <w:t>14 and</w:t>
      </w:r>
      <w:r w:rsidR="00485FF9" w:rsidRPr="00485FF9">
        <w:t xml:space="preserve"> </w:t>
      </w:r>
      <w:r w:rsidR="00485FF9" w:rsidRPr="00485FF9">
        <w:rPr>
          <w:rFonts w:ascii="Times New Roman" w:eastAsia="Times New Roman" w:hAnsi="Times New Roman"/>
          <w:color w:val="000000"/>
          <w:spacing w:val="0"/>
          <w:szCs w:val="22"/>
          <w:lang w:eastAsia="en-AU"/>
        </w:rPr>
        <w:t>$</w:t>
      </w:r>
      <w:r w:rsidR="00485FF9" w:rsidRPr="00485FF9">
        <w:rPr>
          <w:rFonts w:ascii="Garamond" w:eastAsia="Times New Roman" w:hAnsi="Garamond"/>
          <w:color w:val="000000"/>
          <w:spacing w:val="0"/>
          <w:szCs w:val="22"/>
          <w:lang w:eastAsia="en-AU"/>
        </w:rPr>
        <w:t>798,030 in 2014</w:t>
      </w:r>
      <w:r w:rsidR="00716510">
        <w:rPr>
          <w:rFonts w:ascii="Garamond" w:eastAsia="Times New Roman" w:hAnsi="Garamond"/>
          <w:color w:val="000000"/>
          <w:spacing w:val="0"/>
          <w:szCs w:val="22"/>
          <w:lang w:eastAsia="en-AU"/>
        </w:rPr>
        <w:t>–</w:t>
      </w:r>
      <w:r w:rsidR="00485FF9" w:rsidRPr="00485FF9">
        <w:rPr>
          <w:rFonts w:ascii="Garamond" w:eastAsia="Times New Roman" w:hAnsi="Garamond"/>
          <w:color w:val="000000"/>
          <w:spacing w:val="0"/>
          <w:szCs w:val="22"/>
          <w:lang w:eastAsia="en-AU"/>
        </w:rPr>
        <w:t xml:space="preserve">15. </w:t>
      </w:r>
    </w:p>
    <w:p w14:paraId="0F8B415C" w14:textId="77777777" w:rsidR="00BD1431" w:rsidRDefault="00BD1431" w:rsidP="00485FF9">
      <w:pPr>
        <w:pStyle w:val="BodyCopy"/>
        <w:rPr>
          <w:rFonts w:ascii="Garamond" w:eastAsia="Times New Roman" w:hAnsi="Garamond"/>
          <w:color w:val="000000"/>
          <w:spacing w:val="0"/>
          <w:szCs w:val="22"/>
          <w:lang w:eastAsia="en-AU"/>
        </w:rPr>
      </w:pPr>
      <w:r w:rsidRPr="00485FF9">
        <w:t xml:space="preserve">A unit cost, that is, </w:t>
      </w:r>
      <w:r w:rsidR="007D4780">
        <w:t xml:space="preserve">support of </w:t>
      </w:r>
      <w:r w:rsidRPr="00485FF9">
        <w:t xml:space="preserve">one university to </w:t>
      </w:r>
      <w:r w:rsidR="007D4780">
        <w:t>arrange rural placements for</w:t>
      </w:r>
      <w:r w:rsidRPr="00485FF9">
        <w:t xml:space="preserve"> students, was estimated at </w:t>
      </w:r>
      <w:r w:rsidRPr="00485FF9">
        <w:rPr>
          <w:rFonts w:ascii="Times New Roman" w:eastAsia="Times New Roman" w:hAnsi="Times New Roman"/>
          <w:color w:val="000000"/>
          <w:spacing w:val="0"/>
          <w:szCs w:val="22"/>
          <w:lang w:eastAsia="en-AU"/>
        </w:rPr>
        <w:t>$</w:t>
      </w:r>
      <w:r w:rsidRPr="00485FF9">
        <w:rPr>
          <w:rFonts w:ascii="Garamond" w:eastAsia="Times New Roman" w:hAnsi="Garamond"/>
          <w:color w:val="000000"/>
          <w:spacing w:val="0"/>
          <w:szCs w:val="22"/>
          <w:lang w:eastAsia="en-AU"/>
        </w:rPr>
        <w:t xml:space="preserve">40,390 per annum. This includes </w:t>
      </w:r>
      <w:r w:rsidRPr="00485FF9">
        <w:rPr>
          <w:rFonts w:ascii="Times New Roman" w:eastAsia="Times New Roman" w:hAnsi="Times New Roman"/>
          <w:color w:val="000000"/>
          <w:spacing w:val="0"/>
          <w:szCs w:val="22"/>
          <w:lang w:eastAsia="en-AU"/>
        </w:rPr>
        <w:t>$</w:t>
      </w:r>
      <w:r w:rsidRPr="00485FF9">
        <w:rPr>
          <w:rFonts w:ascii="Garamond" w:eastAsia="Times New Roman" w:hAnsi="Garamond"/>
          <w:color w:val="000000"/>
          <w:spacing w:val="0"/>
          <w:szCs w:val="22"/>
          <w:lang w:eastAsia="en-AU"/>
        </w:rPr>
        <w:t>628 in administration overhead, comprising 2% of total unit cost. It is assumed the placement allowance requires little effort to administer on the part of The Guild, as universities administer the Placement Allowance.</w:t>
      </w:r>
      <w:r>
        <w:rPr>
          <w:rFonts w:ascii="Garamond" w:eastAsia="Times New Roman" w:hAnsi="Garamond"/>
          <w:color w:val="000000"/>
          <w:spacing w:val="0"/>
          <w:szCs w:val="22"/>
          <w:lang w:eastAsia="en-AU"/>
        </w:rPr>
        <w:t xml:space="preserve"> </w:t>
      </w:r>
    </w:p>
    <w:p w14:paraId="6C572F8D" w14:textId="77777777" w:rsidR="00485FF9" w:rsidRPr="00B2593B" w:rsidRDefault="00485FF9" w:rsidP="00735952">
      <w:pPr>
        <w:pStyle w:val="Efficiency"/>
        <w:keepLines/>
      </w:pPr>
      <w:r>
        <w:t xml:space="preserve">A single unit cost per participating university was estimated at </w:t>
      </w:r>
      <w:r w:rsidRPr="00485FF9">
        <w:rPr>
          <w:rFonts w:ascii="Times New Roman" w:hAnsi="Times New Roman"/>
        </w:rPr>
        <w:t>$</w:t>
      </w:r>
      <w:r>
        <w:t>40,390 per annum comprising 2% administration overhead costs. This was considered within the acceptable range for administration overheads. However, further investigation is required to assess actual time spent administering the program.</w:t>
      </w:r>
    </w:p>
    <w:p w14:paraId="67C818D9" w14:textId="77777777" w:rsidR="00E76ECE" w:rsidRPr="00E76ECE" w:rsidRDefault="00E76ECE" w:rsidP="00E76ECE">
      <w:pPr>
        <w:pStyle w:val="Heading4"/>
      </w:pPr>
      <w:r>
        <w:t>Options for improving program operation</w:t>
      </w:r>
    </w:p>
    <w:p w14:paraId="026E3AF1" w14:textId="4FCA29E7" w:rsidR="00B21EAA" w:rsidRDefault="00B21EAA" w:rsidP="00B21EAA">
      <w:pPr>
        <w:pStyle w:val="BodyCopy"/>
      </w:pPr>
      <w:r>
        <w:t xml:space="preserve">Students, placement coordinators and peak body stakeholders identified a number of limitations with the Placement Allowance as it is currently administered. Despite the </w:t>
      </w:r>
      <w:r>
        <w:rPr>
          <w:i/>
        </w:rPr>
        <w:t xml:space="preserve">Program Specific Guidelines </w:t>
      </w:r>
      <w:r>
        <w:t xml:space="preserve">stipulating that program funding is provided to universities at the start of the calendar year, three placement coordinators cited occasions </w:t>
      </w:r>
      <w:r w:rsidR="00E21C3B">
        <w:t xml:space="preserve">when </w:t>
      </w:r>
      <w:r>
        <w:t xml:space="preserve">funding was provided midway through the calendar year. This impaired the universities’ ability to plan for the number of placement allowances they could offer students within the academic year. Greater compliance with the timing set out in the </w:t>
      </w:r>
      <w:r w:rsidRPr="00AA0067">
        <w:rPr>
          <w:i/>
        </w:rPr>
        <w:t>Program Specific Guidelines</w:t>
      </w:r>
      <w:r>
        <w:t xml:space="preserve"> is required.</w:t>
      </w:r>
    </w:p>
    <w:p w14:paraId="59D7D790" w14:textId="21EDB208" w:rsidR="00B21EAA" w:rsidRDefault="00B21EAA" w:rsidP="00B21EAA">
      <w:pPr>
        <w:pStyle w:val="BodyCopy"/>
      </w:pPr>
      <w:r>
        <w:t xml:space="preserve">Applying the </w:t>
      </w:r>
      <w:proofErr w:type="spellStart"/>
      <w:r>
        <w:t>PhARIA</w:t>
      </w:r>
      <w:proofErr w:type="spellEnd"/>
      <w:r>
        <w:t xml:space="preserve"> system to determine eligible rural placement sites was considered problematic by peak body stakeholders and placement coordinators. Eight of the ten placement coordinators consulted expressed issues with the </w:t>
      </w:r>
      <w:proofErr w:type="spellStart"/>
      <w:r>
        <w:t>PhARIA</w:t>
      </w:r>
      <w:proofErr w:type="spellEnd"/>
      <w:r>
        <w:t xml:space="preserve"> system as it applies to the Placement Allowance. Stakeholders noted </w:t>
      </w:r>
      <w:proofErr w:type="spellStart"/>
      <w:r>
        <w:t>PhARIA</w:t>
      </w:r>
      <w:proofErr w:type="spellEnd"/>
      <w:r>
        <w:t xml:space="preserve"> 1 pharmacies in regional areas miss out offering student placements</w:t>
      </w:r>
      <w:r w:rsidR="00E21C3B">
        <w:t>,</w:t>
      </w:r>
      <w:r>
        <w:t xml:space="preserve"> as students cannot afford to travel to these centres (e.g. Tamworth). As with the Continuing Professional Education (CPE) Allowance, allowances that cover travel costs should use a classification of rurality that is based on distance from major cities rather than a measure of pharmacy access. </w:t>
      </w:r>
    </w:p>
    <w:p w14:paraId="48758901" w14:textId="77777777" w:rsidR="00B21EAA" w:rsidRPr="0078739D" w:rsidRDefault="00B21EAA" w:rsidP="00B21EAA">
      <w:pPr>
        <w:pStyle w:val="BodyCopy"/>
      </w:pPr>
      <w:r>
        <w:t xml:space="preserve">Placement coordinators noted the administration burden associated with processing students’ claims and reporting on allowance payments was prohibitively time-consuming. However, transferring this responsibility to students may present a barrier to undertaking a rural placement due to the additional effort required. </w:t>
      </w:r>
    </w:p>
    <w:p w14:paraId="6015C61A" w14:textId="7740989E" w:rsidR="00B21EAA" w:rsidRDefault="00B21EAA" w:rsidP="00B21EAA">
      <w:pPr>
        <w:pStyle w:val="BodyCopy"/>
      </w:pPr>
      <w:r>
        <w:t>Stakeholders at universities with longer r</w:t>
      </w:r>
      <w:r w:rsidR="006D0F77">
        <w:t xml:space="preserve">ural placements noted that the </w:t>
      </w:r>
      <w:r w:rsidR="006D0F77">
        <w:rPr>
          <w:rFonts w:ascii="Times New Roman" w:hAnsi="Times New Roman"/>
        </w:rPr>
        <w:t>$</w:t>
      </w:r>
      <w:r>
        <w:t>3,000 cap on placement allowances is insufficient to cover travel and accom</w:t>
      </w:r>
      <w:bookmarkStart w:id="40" w:name="_Hlk486933020"/>
      <w:r>
        <w:t>modation for a 6</w:t>
      </w:r>
      <w:r w:rsidR="00E21C3B">
        <w:noBreakHyphen/>
      </w:r>
      <w:r>
        <w:t xml:space="preserve">week placement. This is particularly true if subsidised accommodation is not available via a University Department of Rural Health (UDRH). Recipients of other programs, such as the CPE Allowance may apply for funding in excess of the cap if </w:t>
      </w:r>
      <w:r w:rsidRPr="00D45572">
        <w:t>additional documentation is supplied to substantiate the reasons for the additional costs</w:t>
      </w:r>
      <w:r>
        <w:t xml:space="preserve"> (e.g. airfares). HMA suggest wording to this effect should be included in the </w:t>
      </w:r>
      <w:r w:rsidRPr="00D45572">
        <w:rPr>
          <w:i/>
        </w:rPr>
        <w:t>Program Specific Guidelines</w:t>
      </w:r>
      <w:r>
        <w:t xml:space="preserve"> for the Placement Allowance program.</w:t>
      </w:r>
    </w:p>
    <w:bookmarkEnd w:id="40"/>
    <w:p w14:paraId="3E5DAC03" w14:textId="77777777" w:rsidR="00884DCB" w:rsidRDefault="00884DCB" w:rsidP="0049637E">
      <w:pPr>
        <w:pStyle w:val="BodyCopy"/>
      </w:pPr>
    </w:p>
    <w:p w14:paraId="2A9CBD64" w14:textId="77777777" w:rsidR="00884DCB" w:rsidRDefault="00884DCB" w:rsidP="0049637E">
      <w:pPr>
        <w:pStyle w:val="BodyCopy"/>
        <w:sectPr w:rsidR="00884DCB" w:rsidSect="00B41459">
          <w:pgSz w:w="16840" w:h="11901" w:orient="landscape" w:code="9"/>
          <w:pgMar w:top="2268" w:right="1304" w:bottom="851" w:left="737" w:header="567" w:footer="284" w:gutter="0"/>
          <w:cols w:num="2" w:space="708"/>
          <w:formProt w:val="0"/>
          <w:docGrid w:linePitch="272"/>
        </w:sectPr>
      </w:pPr>
    </w:p>
    <w:p w14:paraId="26AF53D4" w14:textId="4E17D9F0" w:rsidR="008653DC" w:rsidRDefault="008653DC" w:rsidP="008653DC">
      <w:pPr>
        <w:pStyle w:val="Heading1"/>
      </w:pPr>
      <w:bookmarkStart w:id="41" w:name="_Toc523318808"/>
      <w:r>
        <w:lastRenderedPageBreak/>
        <w:t>Workforce retention programs</w:t>
      </w:r>
      <w:bookmarkEnd w:id="41"/>
    </w:p>
    <w:p w14:paraId="7078D905" w14:textId="0AC4459D" w:rsidR="006D328E" w:rsidRPr="00E76ECE" w:rsidRDefault="0082020E" w:rsidP="007D4780">
      <w:pPr>
        <w:pStyle w:val="Heading2"/>
        <w:spacing w:before="0"/>
      </w:pPr>
      <w:bookmarkStart w:id="42" w:name="_Toc523318809"/>
      <w:r w:rsidRPr="00E76ECE">
        <w:t>Co</w:t>
      </w:r>
      <w:r w:rsidR="006D328E" w:rsidRPr="00E76ECE">
        <w:t>ntinuing Professional Education Allowance</w:t>
      </w:r>
      <w:bookmarkEnd w:id="42"/>
    </w:p>
    <w:p w14:paraId="672A8C2D" w14:textId="44B23DB5" w:rsidR="00436590" w:rsidRDefault="00436590" w:rsidP="00E76ECE">
      <w:pPr>
        <w:pStyle w:val="Heading3"/>
      </w:pPr>
      <w:bookmarkStart w:id="43" w:name="_Toc523318810"/>
      <w:r>
        <w:t>Context</w:t>
      </w:r>
      <w:bookmarkEnd w:id="43"/>
    </w:p>
    <w:p w14:paraId="665081D2" w14:textId="77777777" w:rsidR="00C650B9" w:rsidRDefault="00C650B9" w:rsidP="00E76ECE">
      <w:pPr>
        <w:pStyle w:val="Heading4"/>
      </w:pPr>
      <w:r>
        <w:t xml:space="preserve">Target population </w:t>
      </w:r>
    </w:p>
    <w:p w14:paraId="39914F93" w14:textId="3481BF49" w:rsidR="00C650B9" w:rsidRPr="00F23ABF" w:rsidRDefault="00C650B9" w:rsidP="00C650B9">
      <w:pPr>
        <w:pStyle w:val="BodyCopy"/>
      </w:pPr>
      <w:r>
        <w:t xml:space="preserve">The </w:t>
      </w:r>
      <w:r w:rsidRPr="0071224F">
        <w:t xml:space="preserve">Continuing Professional Education (CPE) Allowance supports </w:t>
      </w:r>
      <w:r w:rsidR="00E21C3B" w:rsidRPr="0071224F">
        <w:t>practi</w:t>
      </w:r>
      <w:r w:rsidR="00E21C3B">
        <w:t>s</w:t>
      </w:r>
      <w:r w:rsidR="00E21C3B" w:rsidRPr="0071224F">
        <w:t xml:space="preserve">ing </w:t>
      </w:r>
      <w:r w:rsidRPr="0071224F">
        <w:t>pharmacists, intern pharmacists and pharmacists</w:t>
      </w:r>
      <w:r>
        <w:t xml:space="preserve"> preparing to re-enter the workforce who are living and working in rural and remote areas (</w:t>
      </w:r>
      <w:proofErr w:type="spellStart"/>
      <w:r>
        <w:t>PhARIA</w:t>
      </w:r>
      <w:proofErr w:type="spellEnd"/>
      <w:r>
        <w:t xml:space="preserve"> 2</w:t>
      </w:r>
      <w:r w:rsidR="00E21C3B">
        <w:t>–</w:t>
      </w:r>
      <w:r>
        <w:t xml:space="preserve">6). The CPE Allowance also supports professional educators travelling to rural and remote areas to deliver </w:t>
      </w:r>
      <w:r w:rsidR="00F25007">
        <w:t>CPE</w:t>
      </w:r>
      <w:r>
        <w:t>.</w:t>
      </w:r>
      <w:sdt>
        <w:sdtPr>
          <w:id w:val="-1262377715"/>
          <w:citation/>
        </w:sdtPr>
        <w:sdtContent>
          <w:r>
            <w:fldChar w:fldCharType="begin"/>
          </w:r>
          <w:r>
            <w:instrText xml:space="preserve"> CITATION The159 \l 3081 </w:instrText>
          </w:r>
          <w:r>
            <w:fldChar w:fldCharType="separate"/>
          </w:r>
          <w:r w:rsidR="0089011F">
            <w:rPr>
              <w:noProof/>
            </w:rPr>
            <w:t xml:space="preserve"> </w:t>
          </w:r>
          <w:r w:rsidR="0089011F" w:rsidRPr="0089011F">
            <w:rPr>
              <w:noProof/>
            </w:rPr>
            <w:t>[31]</w:t>
          </w:r>
          <w:r>
            <w:fldChar w:fldCharType="end"/>
          </w:r>
        </w:sdtContent>
      </w:sdt>
      <w:r>
        <w:t xml:space="preserve"> </w:t>
      </w:r>
    </w:p>
    <w:p w14:paraId="16A67EAA" w14:textId="248DD94E" w:rsidR="00436590" w:rsidRPr="0082020E" w:rsidRDefault="00436590" w:rsidP="00E76ECE">
      <w:pPr>
        <w:pStyle w:val="Heading4"/>
      </w:pPr>
      <w:r w:rsidRPr="0082020E">
        <w:t xml:space="preserve">Program </w:t>
      </w:r>
      <w:r w:rsidR="00667940">
        <w:t>aim</w:t>
      </w:r>
    </w:p>
    <w:p w14:paraId="0C560572" w14:textId="77777777" w:rsidR="00436590" w:rsidRDefault="004968C4" w:rsidP="0082020E">
      <w:pPr>
        <w:pStyle w:val="BodyCopy"/>
      </w:pPr>
      <w:r w:rsidRPr="004968C4">
        <w:t xml:space="preserve">The CPE Allowance aims to reduce the additional costs incurred by </w:t>
      </w:r>
      <w:r w:rsidR="0059510A" w:rsidRPr="004968C4">
        <w:t xml:space="preserve">pharmacists </w:t>
      </w:r>
      <w:r w:rsidRPr="004968C4">
        <w:t>practising in rural and remote communities in continuing to undertake professional development and training, thereby encouraging and enabling them to undertake training and development opportunities.</w:t>
      </w:r>
    </w:p>
    <w:p w14:paraId="5B1B970B" w14:textId="77777777" w:rsidR="00436590" w:rsidRPr="0082020E" w:rsidRDefault="00436590" w:rsidP="00E76ECE">
      <w:pPr>
        <w:pStyle w:val="Heading4"/>
      </w:pPr>
      <w:r w:rsidRPr="0082020E">
        <w:t>Program delivery method</w:t>
      </w:r>
    </w:p>
    <w:p w14:paraId="4C7E566A" w14:textId="76F7E715" w:rsidR="007D7261" w:rsidRDefault="00C650B9" w:rsidP="00C650B9">
      <w:pPr>
        <w:pStyle w:val="BodyCopy"/>
      </w:pPr>
      <w:r>
        <w:t xml:space="preserve">The CPE </w:t>
      </w:r>
      <w:r w:rsidRPr="003637A5">
        <w:t>Allowance is paid to eligible rural pharmacists</w:t>
      </w:r>
      <w:r w:rsidR="00F25007">
        <w:t xml:space="preserve"> to assist them in accessing CPE</w:t>
      </w:r>
      <w:r w:rsidRPr="003637A5">
        <w:t xml:space="preserve"> activities (including Group 2 and 3 Accredited activities</w:t>
      </w:r>
      <w:r>
        <w:t>).</w:t>
      </w:r>
      <w:sdt>
        <w:sdtPr>
          <w:id w:val="1938174609"/>
          <w:citation/>
        </w:sdtPr>
        <w:sdtContent>
          <w:r>
            <w:fldChar w:fldCharType="begin"/>
          </w:r>
          <w:r>
            <w:instrText xml:space="preserve"> CITATION The159 \l 3081 </w:instrText>
          </w:r>
          <w:r>
            <w:fldChar w:fldCharType="separate"/>
          </w:r>
          <w:r w:rsidR="0089011F">
            <w:rPr>
              <w:noProof/>
            </w:rPr>
            <w:t xml:space="preserve"> </w:t>
          </w:r>
          <w:r w:rsidR="0089011F" w:rsidRPr="0089011F">
            <w:rPr>
              <w:noProof/>
            </w:rPr>
            <w:t>[31]</w:t>
          </w:r>
          <w:r>
            <w:fldChar w:fldCharType="end"/>
          </w:r>
        </w:sdtContent>
      </w:sdt>
      <w:r>
        <w:t xml:space="preserve"> Allowances are also available for professional educators delivering </w:t>
      </w:r>
      <w:r w:rsidR="00F25007">
        <w:t>CPE</w:t>
      </w:r>
      <w:r>
        <w:t xml:space="preserve"> in rural and remote areas. </w:t>
      </w:r>
    </w:p>
    <w:p w14:paraId="25C5FD0C" w14:textId="495A22A4" w:rsidR="007D7261" w:rsidRDefault="007D7261" w:rsidP="00C650B9">
      <w:pPr>
        <w:pStyle w:val="BodyCopy"/>
      </w:pPr>
      <w:r>
        <w:t xml:space="preserve">The allowance can be used to reimburse </w:t>
      </w:r>
      <w:r w:rsidR="00C650B9">
        <w:t xml:space="preserve">travel, accommodation and locum relief costs associated with accessing or delivering </w:t>
      </w:r>
      <w:r w:rsidR="00F25007">
        <w:t>CPE</w:t>
      </w:r>
      <w:r w:rsidR="00C650B9">
        <w:t xml:space="preserve"> activities. </w:t>
      </w:r>
      <w:r>
        <w:t xml:space="preserve">However, the allowance cannot be used for </w:t>
      </w:r>
      <w:r w:rsidR="00F25007">
        <w:t>CPE</w:t>
      </w:r>
      <w:r>
        <w:t xml:space="preserve"> event </w:t>
      </w:r>
      <w:r w:rsidRPr="007D7261">
        <w:t>registration fees, overseas conferences, meals, locum wages, car hire and travel to and from accommodation venue to CPE venue</w:t>
      </w:r>
      <w:r>
        <w:t xml:space="preserve">. </w:t>
      </w:r>
    </w:p>
    <w:p w14:paraId="37897559" w14:textId="1D110A0D" w:rsidR="007D7261" w:rsidRPr="003637A5" w:rsidRDefault="007D7261" w:rsidP="005D75A2">
      <w:pPr>
        <w:pStyle w:val="BodyCopy"/>
      </w:pPr>
      <w:r>
        <w:t>T</w:t>
      </w:r>
      <w:r w:rsidR="0059510A">
        <w:t xml:space="preserve">he allowance is </w:t>
      </w:r>
      <w:r>
        <w:t xml:space="preserve">capped at </w:t>
      </w:r>
      <w:r>
        <w:rPr>
          <w:rFonts w:ascii="Times New Roman" w:hAnsi="Times New Roman"/>
        </w:rPr>
        <w:t>$</w:t>
      </w:r>
      <w:r>
        <w:t xml:space="preserve">2,000 and is </w:t>
      </w:r>
      <w:r w:rsidR="0059510A">
        <w:t xml:space="preserve">paid retrospectively upon submission of relevant </w:t>
      </w:r>
      <w:r>
        <w:t xml:space="preserve">documents / </w:t>
      </w:r>
      <w:r w:rsidR="0059510A">
        <w:t xml:space="preserve">receipts </w:t>
      </w:r>
      <w:r w:rsidR="00E21C3B">
        <w:t xml:space="preserve">that </w:t>
      </w:r>
      <w:r>
        <w:t xml:space="preserve">have been appropriately certified. </w:t>
      </w:r>
    </w:p>
    <w:p w14:paraId="2F67B5D1" w14:textId="7C233591" w:rsidR="007D7261" w:rsidRPr="003637A5" w:rsidRDefault="00F25007" w:rsidP="007D7261">
      <w:pPr>
        <w:pStyle w:val="BodyCopy"/>
      </w:pPr>
      <w:r>
        <w:t>Application for the CPE A</w:t>
      </w:r>
      <w:r w:rsidR="0071224F" w:rsidRPr="003637A5">
        <w:t>llowance must be made with</w:t>
      </w:r>
      <w:r>
        <w:t>in 60 days of the end of the CPE</w:t>
      </w:r>
      <w:r w:rsidR="0071224F" w:rsidRPr="003637A5">
        <w:t xml:space="preserve"> event. </w:t>
      </w:r>
    </w:p>
    <w:p w14:paraId="38B6EEA4" w14:textId="26CD2D3F" w:rsidR="007D7261" w:rsidRPr="003637A5" w:rsidRDefault="007D7261" w:rsidP="007D7261">
      <w:pPr>
        <w:pStyle w:val="BodyCopy"/>
      </w:pPr>
      <w:r w:rsidRPr="003637A5">
        <w:t xml:space="preserve">Applications over </w:t>
      </w:r>
      <w:r w:rsidRPr="003637A5">
        <w:rPr>
          <w:rFonts w:ascii="Times New Roman" w:hAnsi="Times New Roman"/>
        </w:rPr>
        <w:t>$</w:t>
      </w:r>
      <w:r w:rsidRPr="003637A5">
        <w:t xml:space="preserve">2,000 </w:t>
      </w:r>
      <w:r w:rsidR="00E21C3B">
        <w:t>are</w:t>
      </w:r>
      <w:r w:rsidRPr="003637A5">
        <w:t xml:space="preserve"> considered where additional documentation is supplied to substantiate the reasons for the additional costs (e.g. airfares or other additional transport links from remote centres). These applications </w:t>
      </w:r>
      <w:r w:rsidR="00E21C3B">
        <w:t>are</w:t>
      </w:r>
      <w:r w:rsidRPr="003637A5">
        <w:t xml:space="preserve"> subject to review by </w:t>
      </w:r>
      <w:r w:rsidR="00E21C3B">
        <w:t>T</w:t>
      </w:r>
      <w:r w:rsidR="00E21C3B" w:rsidRPr="003637A5">
        <w:t xml:space="preserve">he </w:t>
      </w:r>
      <w:r w:rsidRPr="003637A5">
        <w:t>Guild.</w:t>
      </w:r>
    </w:p>
    <w:p w14:paraId="5CEDC9A4" w14:textId="77777777" w:rsidR="00436590" w:rsidRPr="003637A5" w:rsidRDefault="00436590" w:rsidP="00E76ECE">
      <w:pPr>
        <w:pStyle w:val="Heading4"/>
      </w:pPr>
      <w:r w:rsidRPr="003637A5">
        <w:t>Program volumes</w:t>
      </w:r>
    </w:p>
    <w:p w14:paraId="295D7E08" w14:textId="284D7F2A" w:rsidR="00BD5FA2" w:rsidRDefault="00BD5FA2" w:rsidP="00BD5FA2">
      <w:pPr>
        <w:pStyle w:val="BodyCopy"/>
      </w:pPr>
      <w:r w:rsidRPr="003637A5">
        <w:t>Program data from 201</w:t>
      </w:r>
      <w:r w:rsidR="00E25D4B" w:rsidRPr="003637A5">
        <w:t>2</w:t>
      </w:r>
      <w:r w:rsidR="00E21C3B">
        <w:t>–</w:t>
      </w:r>
      <w:r w:rsidR="00E25D4B">
        <w:t>2015</w:t>
      </w:r>
      <w:r w:rsidR="00E25D4B">
        <w:rPr>
          <w:rStyle w:val="FootnoteReference"/>
        </w:rPr>
        <w:footnoteReference w:id="2"/>
      </w:r>
      <w:r w:rsidR="00E25D4B">
        <w:t>showed that 1,866</w:t>
      </w:r>
      <w:r>
        <w:t xml:space="preserve"> CPE Allowance claims were made over the </w:t>
      </w:r>
      <w:r w:rsidR="00E25D4B">
        <w:t>four</w:t>
      </w:r>
      <w:r>
        <w:t>-year period</w:t>
      </w:r>
      <w:r w:rsidR="00E25D4B">
        <w:t xml:space="preserve">, </w:t>
      </w:r>
      <w:r w:rsidR="00E25D4B" w:rsidRPr="00740F32">
        <w:t xml:space="preserve">equating to </w:t>
      </w:r>
      <w:r w:rsidR="00E25D4B" w:rsidRPr="00740F32">
        <w:rPr>
          <w:rFonts w:ascii="Times New Roman" w:hAnsi="Times New Roman"/>
        </w:rPr>
        <w:t>$</w:t>
      </w:r>
      <w:r w:rsidR="00E25D4B" w:rsidRPr="00740F32">
        <w:t>1.48m in claims</w:t>
      </w:r>
      <w:r w:rsidRPr="00740F32">
        <w:t xml:space="preserve">. </w:t>
      </w:r>
      <w:r w:rsidR="00E25D4B" w:rsidRPr="00740F32">
        <w:t xml:space="preserve">This equates to an average of </w:t>
      </w:r>
      <w:r w:rsidR="00E25D4B" w:rsidRPr="00740F32">
        <w:rPr>
          <w:rFonts w:ascii="Times New Roman" w:hAnsi="Times New Roman"/>
        </w:rPr>
        <w:t>$</w:t>
      </w:r>
      <w:r w:rsidR="00E25D4B" w:rsidRPr="00740F32">
        <w:t xml:space="preserve">791.41 per claim (with a maximum claim of </w:t>
      </w:r>
      <w:r w:rsidR="00E25D4B" w:rsidRPr="00740F32">
        <w:rPr>
          <w:rFonts w:ascii="Times New Roman" w:hAnsi="Times New Roman"/>
        </w:rPr>
        <w:t>$</w:t>
      </w:r>
      <w:r w:rsidR="00E25D4B" w:rsidRPr="00740F32">
        <w:t>2,892</w:t>
      </w:r>
      <w:r w:rsidR="00E25D4B" w:rsidRPr="00740F32">
        <w:rPr>
          <w:rStyle w:val="FootnoteReference"/>
        </w:rPr>
        <w:footnoteReference w:id="3"/>
      </w:r>
      <w:r w:rsidR="00E25D4B" w:rsidRPr="00740F32">
        <w:t xml:space="preserve"> and a </w:t>
      </w:r>
      <w:r w:rsidR="003637A5" w:rsidRPr="00740F32">
        <w:t>minimum claim</w:t>
      </w:r>
      <w:r w:rsidR="00E25D4B" w:rsidRPr="00740F32">
        <w:t xml:space="preserve"> of </w:t>
      </w:r>
      <w:r w:rsidR="00E25D4B" w:rsidRPr="00740F32">
        <w:rPr>
          <w:rFonts w:ascii="Times New Roman" w:hAnsi="Times New Roman"/>
        </w:rPr>
        <w:t>$</w:t>
      </w:r>
      <w:r w:rsidR="00E25D4B" w:rsidRPr="00740F32">
        <w:t xml:space="preserve">40.50). </w:t>
      </w:r>
      <w:r w:rsidRPr="00740F32">
        <w:t xml:space="preserve">Of these claims, </w:t>
      </w:r>
      <w:r w:rsidR="00E25D4B" w:rsidRPr="00740F32">
        <w:t>127</w:t>
      </w:r>
      <w:r w:rsidRPr="00740F32">
        <w:t xml:space="preserve"> were</w:t>
      </w:r>
      <w:r>
        <w:t xml:space="preserve"> s</w:t>
      </w:r>
      <w:r w:rsidR="00E25D4B">
        <w:t>ought by professional educators (6.8%)</w:t>
      </w:r>
      <w:r>
        <w:t xml:space="preserve"> and </w:t>
      </w:r>
      <w:r w:rsidR="00E25D4B">
        <w:t>1,739</w:t>
      </w:r>
      <w:r>
        <w:t xml:space="preserve"> were sought by pharmacists, interns or re-entering pharmacists</w:t>
      </w:r>
      <w:r w:rsidR="00E25D4B">
        <w:t xml:space="preserve"> (93.2%)</w:t>
      </w:r>
      <w:r>
        <w:t xml:space="preserve">. </w:t>
      </w:r>
    </w:p>
    <w:p w14:paraId="02B8D080" w14:textId="77777777" w:rsidR="00436590" w:rsidRDefault="00436590" w:rsidP="00E76ECE">
      <w:pPr>
        <w:pStyle w:val="Heading3"/>
      </w:pPr>
      <w:bookmarkStart w:id="44" w:name="_Toc523318811"/>
      <w:r>
        <w:t>Evaluation findings</w:t>
      </w:r>
      <w:bookmarkEnd w:id="44"/>
    </w:p>
    <w:p w14:paraId="07237EF1" w14:textId="77777777" w:rsidR="00436590" w:rsidRDefault="00436590" w:rsidP="00E76ECE">
      <w:pPr>
        <w:pStyle w:val="Heading4"/>
      </w:pPr>
      <w:r w:rsidRPr="0082020E">
        <w:t>Appropriateness</w:t>
      </w:r>
    </w:p>
    <w:p w14:paraId="77C99F1E" w14:textId="169F8258" w:rsidR="002F3532" w:rsidRDefault="001E6728" w:rsidP="002F3532">
      <w:pPr>
        <w:pStyle w:val="BodyCopy"/>
      </w:pPr>
      <w:r>
        <w:t>A number of p</w:t>
      </w:r>
      <w:r w:rsidR="002F3532">
        <w:t xml:space="preserve">eer reviewed </w:t>
      </w:r>
      <w:r>
        <w:t xml:space="preserve">studies </w:t>
      </w:r>
      <w:r w:rsidR="002F3532">
        <w:t>identifi</w:t>
      </w:r>
      <w:r>
        <w:t>ed</w:t>
      </w:r>
      <w:r w:rsidR="002F3532">
        <w:t xml:space="preserve"> easy access to CP</w:t>
      </w:r>
      <w:r w:rsidR="00F25007">
        <w:t>E</w:t>
      </w:r>
      <w:r w:rsidR="002F3532">
        <w:t xml:space="preserve"> as an important factor considered by health professionals when deciding </w:t>
      </w:r>
      <w:r>
        <w:t xml:space="preserve">whether to </w:t>
      </w:r>
      <w:r w:rsidR="002F3532">
        <w:t>leave or stay in rural areas.</w:t>
      </w:r>
      <w:sdt>
        <w:sdtPr>
          <w:id w:val="-1311707316"/>
          <w:citation/>
        </w:sdtPr>
        <w:sdtContent>
          <w:r w:rsidR="002F3532">
            <w:fldChar w:fldCharType="begin"/>
          </w:r>
          <w:r w:rsidR="002F3532">
            <w:instrText xml:space="preserve"> CITATION Cur10 \l 3081  \m God13 \m Kot06</w:instrText>
          </w:r>
          <w:r w:rsidR="002F3532">
            <w:fldChar w:fldCharType="separate"/>
          </w:r>
          <w:r w:rsidR="0089011F">
            <w:rPr>
              <w:noProof/>
            </w:rPr>
            <w:t xml:space="preserve"> </w:t>
          </w:r>
          <w:r w:rsidR="0089011F" w:rsidRPr="0089011F">
            <w:rPr>
              <w:noProof/>
            </w:rPr>
            <w:t>[24, 25, 26]</w:t>
          </w:r>
          <w:r w:rsidR="002F3532">
            <w:fldChar w:fldCharType="end"/>
          </w:r>
        </w:sdtContent>
      </w:sdt>
      <w:r w:rsidR="002F3532">
        <w:t xml:space="preserve"> </w:t>
      </w:r>
      <w:r w:rsidR="00CB2C93">
        <w:t>Specific barriers identified in one study were: lack of opportunity, lack of access to locum relief, costs associated with accessing training, and lack of flexible training options.</w:t>
      </w:r>
      <w:sdt>
        <w:sdtPr>
          <w:id w:val="1835255282"/>
          <w:citation/>
        </w:sdtPr>
        <w:sdtContent>
          <w:r w:rsidR="00CB2C93">
            <w:fldChar w:fldCharType="begin"/>
          </w:r>
          <w:r w:rsidR="00CB2C93">
            <w:instrText xml:space="preserve"> CITATION Gla06 \l 3081 </w:instrText>
          </w:r>
          <w:r w:rsidR="00CB2C93">
            <w:fldChar w:fldCharType="separate"/>
          </w:r>
          <w:r w:rsidR="0089011F">
            <w:rPr>
              <w:noProof/>
            </w:rPr>
            <w:t xml:space="preserve"> </w:t>
          </w:r>
          <w:r w:rsidR="0089011F" w:rsidRPr="0089011F">
            <w:rPr>
              <w:noProof/>
            </w:rPr>
            <w:t>[32]</w:t>
          </w:r>
          <w:r w:rsidR="00CB2C93">
            <w:fldChar w:fldCharType="end"/>
          </w:r>
        </w:sdtContent>
      </w:sdt>
    </w:p>
    <w:p w14:paraId="0CEA423F" w14:textId="377D3FBC" w:rsidR="00780DA4" w:rsidRDefault="009A1034" w:rsidP="00780DA4">
      <w:pPr>
        <w:pStyle w:val="BodyCopy"/>
      </w:pPr>
      <w:r>
        <w:lastRenderedPageBreak/>
        <w:t>Consistent with the literature, th</w:t>
      </w:r>
      <w:r w:rsidR="00780DA4">
        <w:t>e Australian Government acknowledges the need to assist health professionals in rural and remote areas to access CP</w:t>
      </w:r>
      <w:r w:rsidR="00F25007">
        <w:t>E</w:t>
      </w:r>
      <w:r w:rsidR="00780DA4">
        <w:t xml:space="preserve">. For example, the Australian Government Department of Health funds the </w:t>
      </w:r>
      <w:r w:rsidR="00780DA4" w:rsidRPr="00C71755">
        <w:t xml:space="preserve">Support for Rural Specialists in Australia </w:t>
      </w:r>
      <w:r w:rsidR="00780DA4">
        <w:t xml:space="preserve">(SRSA) grants (administered through the </w:t>
      </w:r>
      <w:r w:rsidR="00780DA4" w:rsidRPr="00C71755">
        <w:t>Council of Presidents of Medical Colleges</w:t>
      </w:r>
      <w:r w:rsidR="00780DA4">
        <w:t xml:space="preserve">). The SRSA grants provide up to </w:t>
      </w:r>
      <w:r w:rsidR="00780DA4">
        <w:rPr>
          <w:rFonts w:ascii="Times New Roman" w:hAnsi="Times New Roman"/>
        </w:rPr>
        <w:t>$</w:t>
      </w:r>
      <w:r w:rsidR="00780DA4">
        <w:t>10,000 for up to five days of training for medical specialists (not including general practitioners) in rural and remote areas.</w:t>
      </w:r>
      <w:sdt>
        <w:sdtPr>
          <w:id w:val="1262422612"/>
          <w:citation/>
        </w:sdtPr>
        <w:sdtContent>
          <w:r w:rsidR="00780DA4">
            <w:fldChar w:fldCharType="begin"/>
          </w:r>
          <w:r w:rsidR="00780DA4">
            <w:instrText xml:space="preserve"> CITATION Cou17 \l 3081 </w:instrText>
          </w:r>
          <w:r w:rsidR="00780DA4">
            <w:fldChar w:fldCharType="separate"/>
          </w:r>
          <w:r w:rsidR="0089011F">
            <w:rPr>
              <w:noProof/>
            </w:rPr>
            <w:t xml:space="preserve"> </w:t>
          </w:r>
          <w:r w:rsidR="0089011F" w:rsidRPr="0089011F">
            <w:rPr>
              <w:noProof/>
            </w:rPr>
            <w:t>[33]</w:t>
          </w:r>
          <w:r w:rsidR="00780DA4">
            <w:fldChar w:fldCharType="end"/>
          </w:r>
        </w:sdtContent>
      </w:sdt>
      <w:r w:rsidR="00780DA4">
        <w:t xml:space="preserve"> In addition, the Australian Government Department of Health funds the Rural Locum Assistance Program (Rural LAP, administered by </w:t>
      </w:r>
      <w:r w:rsidR="00780DA4" w:rsidRPr="00780DA4">
        <w:t>Aspen Medical Pty Ltd</w:t>
      </w:r>
      <w:r w:rsidR="00780DA4">
        <w:t>), which covers the costs of locum travel, accommodation and incentives for up to 14 days leave for rural and 28 days leave for remote health professionals for CP</w:t>
      </w:r>
      <w:r w:rsidR="00F25007">
        <w:t>E</w:t>
      </w:r>
      <w:r w:rsidR="00780DA4">
        <w:t xml:space="preserve"> activities.</w:t>
      </w:r>
      <w:sdt>
        <w:sdtPr>
          <w:id w:val="-218669058"/>
          <w:citation/>
        </w:sdtPr>
        <w:sdtContent>
          <w:r w:rsidR="00780DA4">
            <w:fldChar w:fldCharType="begin"/>
          </w:r>
          <w:r w:rsidR="00780DA4">
            <w:instrText xml:space="preserve"> CITATION Rur17 \l 3081 </w:instrText>
          </w:r>
          <w:r w:rsidR="00780DA4">
            <w:fldChar w:fldCharType="separate"/>
          </w:r>
          <w:r w:rsidR="0089011F">
            <w:rPr>
              <w:noProof/>
            </w:rPr>
            <w:t xml:space="preserve"> </w:t>
          </w:r>
          <w:r w:rsidR="0089011F" w:rsidRPr="0089011F">
            <w:rPr>
              <w:noProof/>
            </w:rPr>
            <w:t>[34]</w:t>
          </w:r>
          <w:r w:rsidR="00780DA4">
            <w:fldChar w:fldCharType="end"/>
          </w:r>
        </w:sdtContent>
      </w:sdt>
      <w:r w:rsidR="00780DA4">
        <w:t xml:space="preserve"> Health professions eligible to access the Rural LAP include general practitioners, medical specialists, nurses, midwives and allied health (does not include pharmacists).</w:t>
      </w:r>
      <w:sdt>
        <w:sdtPr>
          <w:id w:val="-1254588981"/>
          <w:citation/>
        </w:sdtPr>
        <w:sdtContent>
          <w:r w:rsidR="00780DA4">
            <w:fldChar w:fldCharType="begin"/>
          </w:r>
          <w:r w:rsidR="00780DA4">
            <w:instrText xml:space="preserve"> CITATION Rur17 \l 3081 </w:instrText>
          </w:r>
          <w:r w:rsidR="00780DA4">
            <w:fldChar w:fldCharType="separate"/>
          </w:r>
          <w:r w:rsidR="0089011F">
            <w:rPr>
              <w:noProof/>
            </w:rPr>
            <w:t xml:space="preserve"> </w:t>
          </w:r>
          <w:r w:rsidR="0089011F" w:rsidRPr="0089011F">
            <w:rPr>
              <w:noProof/>
            </w:rPr>
            <w:t>[34]</w:t>
          </w:r>
          <w:r w:rsidR="00780DA4">
            <w:fldChar w:fldCharType="end"/>
          </w:r>
        </w:sdtContent>
      </w:sdt>
    </w:p>
    <w:p w14:paraId="11FC14ED" w14:textId="7117CED1" w:rsidR="002F3532" w:rsidRDefault="00CB2C93" w:rsidP="0082020E">
      <w:pPr>
        <w:pStyle w:val="BodyCopy"/>
      </w:pPr>
      <w:r>
        <w:t>The</w:t>
      </w:r>
      <w:r w:rsidR="009A1034">
        <w:t xml:space="preserve"> Pharmacy Workforce Program</w:t>
      </w:r>
      <w:r>
        <w:t xml:space="preserve"> CPE Allowance, as it is currently delivered, aims to mitigate several of the identified barriers to accessing CP</w:t>
      </w:r>
      <w:r w:rsidR="00F25007">
        <w:t>E</w:t>
      </w:r>
      <w:r w:rsidR="00C774D6">
        <w:t>,</w:t>
      </w:r>
      <w:r>
        <w:t xml:space="preserve"> such as travel costs associated with attending CP</w:t>
      </w:r>
      <w:r w:rsidR="00F25007">
        <w:t>E</w:t>
      </w:r>
      <w:r>
        <w:t xml:space="preserve"> and/or locum travel. However, other barriers such as limited opportunities or flexibility of CP</w:t>
      </w:r>
      <w:r w:rsidR="00F25007">
        <w:t>E</w:t>
      </w:r>
      <w:r>
        <w:t xml:space="preserve"> delivery are not addressed by the allowance. </w:t>
      </w:r>
    </w:p>
    <w:p w14:paraId="0EBB77C1" w14:textId="2660B758" w:rsidR="009A1034" w:rsidRDefault="009A1034" w:rsidP="0082020E">
      <w:pPr>
        <w:pStyle w:val="BodyCopy"/>
      </w:pPr>
      <w:r>
        <w:t>The importance of CP</w:t>
      </w:r>
      <w:r w:rsidR="00F25007">
        <w:t>E</w:t>
      </w:r>
      <w:r>
        <w:t xml:space="preserve"> opportunities for the rural and remote pharmacy workforce was also acknowledged</w:t>
      </w:r>
      <w:r w:rsidR="00C966CB">
        <w:t xml:space="preserve"> by peak body groups, stating the need for networking opportunities, connections to other disciplines and reducing professional and social isolation often encountered in rural </w:t>
      </w:r>
      <w:r w:rsidR="00C774D6">
        <w:t>practice</w:t>
      </w:r>
      <w:r w:rsidR="00C966CB">
        <w:t>.</w:t>
      </w:r>
      <w:r>
        <w:t xml:space="preserve"> </w:t>
      </w:r>
    </w:p>
    <w:p w14:paraId="48EDEEAB" w14:textId="0F3813F2" w:rsidR="009A1034" w:rsidRPr="005D60CE" w:rsidRDefault="009A1034" w:rsidP="00735952">
      <w:pPr>
        <w:pStyle w:val="Appropriatenessassessment"/>
        <w:keepLines/>
      </w:pPr>
      <w:r w:rsidRPr="005D60CE">
        <w:t>The strength of the evidence on the effectiveness of CP</w:t>
      </w:r>
      <w:r w:rsidR="00F25007">
        <w:t>E</w:t>
      </w:r>
      <w:r w:rsidRPr="005D60CE">
        <w:t xml:space="preserve"> assistance in retaining rural and remote workforce is weak to </w:t>
      </w:r>
      <w:r w:rsidR="00F25007">
        <w:t>moderate. However, access to CPE</w:t>
      </w:r>
      <w:r w:rsidRPr="005D60CE">
        <w:t xml:space="preserve"> is an acknowledged barrier for rural and remote workforces. The Australian Government recognises the barrier for other health professions through support programs. </w:t>
      </w:r>
    </w:p>
    <w:p w14:paraId="6AEA01DE" w14:textId="77777777" w:rsidR="00436590" w:rsidRDefault="00436590" w:rsidP="00E76ECE">
      <w:pPr>
        <w:pStyle w:val="Heading4"/>
      </w:pPr>
      <w:r w:rsidRPr="0082020E">
        <w:t>Effectiveness</w:t>
      </w:r>
    </w:p>
    <w:p w14:paraId="2E568322" w14:textId="1A9FF2FD" w:rsidR="007228DF" w:rsidRDefault="00186EBF" w:rsidP="00186EBF">
      <w:pPr>
        <w:pStyle w:val="BodyCopy"/>
      </w:pPr>
      <w:r>
        <w:t xml:space="preserve">The </w:t>
      </w:r>
      <w:r w:rsidR="00667940">
        <w:t xml:space="preserve">aim </w:t>
      </w:r>
      <w:r>
        <w:t>of the C</w:t>
      </w:r>
      <w:r w:rsidRPr="004968C4">
        <w:t xml:space="preserve">PE Allowance </w:t>
      </w:r>
      <w:r w:rsidR="008645C7">
        <w:t>is</w:t>
      </w:r>
      <w:r>
        <w:t xml:space="preserve"> to </w:t>
      </w:r>
      <w:r w:rsidRPr="004968C4">
        <w:t xml:space="preserve">reduce the additional costs incurred by pharmacists practising in rural and remote communities </w:t>
      </w:r>
      <w:r w:rsidR="00F25007">
        <w:t>to undertake CPE</w:t>
      </w:r>
      <w:r>
        <w:t xml:space="preserve"> activities. </w:t>
      </w:r>
    </w:p>
    <w:p w14:paraId="47F16EF7" w14:textId="75DA02FC" w:rsidR="00ED00D6" w:rsidRDefault="00186EBF" w:rsidP="00186EBF">
      <w:pPr>
        <w:pStyle w:val="BodyCopy"/>
      </w:pPr>
      <w:r>
        <w:t xml:space="preserve">The program </w:t>
      </w:r>
      <w:r w:rsidR="008645C7">
        <w:t xml:space="preserve">provided </w:t>
      </w:r>
      <w:r w:rsidR="004F50F5">
        <w:t xml:space="preserve">just under 2,000 </w:t>
      </w:r>
      <w:r w:rsidR="008645C7">
        <w:t>allowances to pharmacists and educators from 201</w:t>
      </w:r>
      <w:r w:rsidR="004F50F5">
        <w:t>2 to 2015</w:t>
      </w:r>
      <w:r w:rsidR="004F50F5">
        <w:rPr>
          <w:rStyle w:val="FootnoteReference"/>
        </w:rPr>
        <w:footnoteReference w:id="4"/>
      </w:r>
      <w:r w:rsidR="008645C7">
        <w:t xml:space="preserve">, with an average of just under </w:t>
      </w:r>
      <w:r w:rsidR="008645C7">
        <w:rPr>
          <w:rFonts w:ascii="Times New Roman" w:hAnsi="Times New Roman"/>
        </w:rPr>
        <w:t>$</w:t>
      </w:r>
      <w:r w:rsidR="004F50F5">
        <w:t>8</w:t>
      </w:r>
      <w:r w:rsidR="008645C7">
        <w:t>00 per allowance.</w:t>
      </w:r>
      <w:r w:rsidR="00ED00D6">
        <w:t xml:space="preserve"> During this time, </w:t>
      </w:r>
      <w:r w:rsidR="004F50F5">
        <w:t xml:space="preserve">almost </w:t>
      </w:r>
      <w:r w:rsidR="00ED00D6">
        <w:t>one third of pharmacists acc</w:t>
      </w:r>
      <w:r w:rsidR="00054727">
        <w:t>essing the CPE Allowance were</w:t>
      </w:r>
      <w:r w:rsidR="00ED00D6">
        <w:t xml:space="preserve"> in New South Wales (3</w:t>
      </w:r>
      <w:r w:rsidR="004F50F5">
        <w:t>1.7</w:t>
      </w:r>
      <w:r w:rsidR="00ED00D6">
        <w:t>%). A further 1</w:t>
      </w:r>
      <w:r w:rsidR="004F50F5">
        <w:t>7.4%</w:t>
      </w:r>
      <w:r w:rsidR="00ED00D6">
        <w:t xml:space="preserve"> </w:t>
      </w:r>
      <w:r w:rsidR="007228DF">
        <w:t>w</w:t>
      </w:r>
      <w:r w:rsidR="00054727">
        <w:t xml:space="preserve">ere </w:t>
      </w:r>
      <w:r w:rsidR="00ED00D6">
        <w:t>in Victoria, 1</w:t>
      </w:r>
      <w:r w:rsidR="004F50F5">
        <w:t>6.8</w:t>
      </w:r>
      <w:r w:rsidR="00ED00D6">
        <w:t>%</w:t>
      </w:r>
      <w:r w:rsidR="007228DF">
        <w:t xml:space="preserve"> </w:t>
      </w:r>
      <w:r w:rsidR="00ED00D6">
        <w:t xml:space="preserve">in </w:t>
      </w:r>
      <w:r w:rsidR="004F50F5">
        <w:t xml:space="preserve">Western Australia and 14.6% in </w:t>
      </w:r>
      <w:r w:rsidR="00303997">
        <w:t xml:space="preserve">Queensland. See </w:t>
      </w:r>
      <w:r w:rsidR="00303997">
        <w:fldChar w:fldCharType="begin"/>
      </w:r>
      <w:r w:rsidR="00303997">
        <w:instrText xml:space="preserve"> REF _Ref487111317 \h </w:instrText>
      </w:r>
      <w:r w:rsidR="00303997">
        <w:fldChar w:fldCharType="separate"/>
      </w:r>
      <w:r w:rsidR="00910E65">
        <w:t xml:space="preserve">Table </w:t>
      </w:r>
      <w:r w:rsidR="00910E65">
        <w:rPr>
          <w:noProof/>
        </w:rPr>
        <w:t>3</w:t>
      </w:r>
      <w:r w:rsidR="00910E65">
        <w:t>.</w:t>
      </w:r>
      <w:r w:rsidR="00910E65">
        <w:rPr>
          <w:noProof/>
        </w:rPr>
        <w:t>1</w:t>
      </w:r>
      <w:r w:rsidR="00303997">
        <w:fldChar w:fldCharType="end"/>
      </w:r>
      <w:r w:rsidR="00303997">
        <w:t xml:space="preserve">. </w:t>
      </w:r>
      <w:r w:rsidR="00ED00D6">
        <w:t xml:space="preserve"> </w:t>
      </w:r>
    </w:p>
    <w:p w14:paraId="143ADBBD" w14:textId="7C6A8311" w:rsidR="00303997" w:rsidRPr="00303997" w:rsidRDefault="00303997" w:rsidP="00303997">
      <w:pPr>
        <w:pStyle w:val="Caption"/>
        <w:rPr>
          <w:rStyle w:val="Captionnotbold"/>
        </w:rPr>
      </w:pPr>
      <w:bookmarkStart w:id="45" w:name="_Ref487111317"/>
      <w:r>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3</w:t>
      </w:r>
      <w:r w:rsidR="00BC6E6C">
        <w:rPr>
          <w:noProof/>
        </w:rPr>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1</w:t>
      </w:r>
      <w:r w:rsidR="00BC6E6C">
        <w:rPr>
          <w:noProof/>
        </w:rPr>
        <w:fldChar w:fldCharType="end"/>
      </w:r>
      <w:bookmarkEnd w:id="45"/>
      <w:r>
        <w:t xml:space="preserve">: </w:t>
      </w:r>
      <w:r w:rsidRPr="00303997">
        <w:rPr>
          <w:rStyle w:val="Captionnotbold"/>
        </w:rPr>
        <w:t xml:space="preserve">CPE Allowance claims </w:t>
      </w:r>
      <w:r>
        <w:rPr>
          <w:rStyle w:val="Captionnotbold"/>
        </w:rPr>
        <w:t xml:space="preserve">for pharmacists </w:t>
      </w:r>
      <w:r w:rsidRPr="00303997">
        <w:rPr>
          <w:rStyle w:val="Captionnotbold"/>
        </w:rPr>
        <w:t>per jurisdiction, 2012</w:t>
      </w:r>
      <w:r w:rsidR="00C774D6">
        <w:rPr>
          <w:rStyle w:val="Captionnotbold"/>
        </w:rPr>
        <w:t>–</w:t>
      </w:r>
      <w:r w:rsidRPr="00303997">
        <w:rPr>
          <w:rStyle w:val="Captionnotbold"/>
        </w:rPr>
        <w:t>2015</w:t>
      </w:r>
    </w:p>
    <w:tbl>
      <w:tblPr>
        <w:tblStyle w:val="HMATable"/>
        <w:tblW w:w="5000" w:type="pct"/>
        <w:tblLook w:val="04E0" w:firstRow="1" w:lastRow="1" w:firstColumn="1" w:lastColumn="0" w:noHBand="0" w:noVBand="1"/>
        <w:tblCaption w:val="Table 3.1: CPE allowance claims for pharmacists per jurisdiction, 2012-2015"/>
        <w:tblDescription w:val="Table 3.1: CPE allowance claims for pharmacists per jurisdiction, 2012-2015"/>
      </w:tblPr>
      <w:tblGrid>
        <w:gridCol w:w="1472"/>
        <w:gridCol w:w="2781"/>
        <w:gridCol w:w="2781"/>
      </w:tblGrid>
      <w:tr w:rsidR="00303997" w:rsidRPr="00303997" w14:paraId="0D367A1E" w14:textId="77777777" w:rsidTr="00742880">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100" w:firstRow="0" w:lastRow="0" w:firstColumn="1" w:lastColumn="0" w:oddVBand="0" w:evenVBand="0" w:oddHBand="0" w:evenHBand="0" w:firstRowFirstColumn="1" w:firstRowLastColumn="0" w:lastRowFirstColumn="0" w:lastRowLastColumn="0"/>
            <w:tcW w:w="1046" w:type="pct"/>
            <w:noWrap/>
            <w:hideMark/>
          </w:tcPr>
          <w:p w14:paraId="310CAB9E" w14:textId="77777777" w:rsidR="00303997" w:rsidRPr="00303997" w:rsidRDefault="00303997" w:rsidP="000B2F9E">
            <w:pPr>
              <w:pStyle w:val="TableColumnHeading"/>
              <w:rPr>
                <w:lang w:eastAsia="en-AU"/>
              </w:rPr>
            </w:pPr>
            <w:r>
              <w:rPr>
                <w:lang w:eastAsia="en-AU"/>
              </w:rPr>
              <w:t>Jurisdiction</w:t>
            </w:r>
          </w:p>
        </w:tc>
        <w:tc>
          <w:tcPr>
            <w:tcW w:w="1977" w:type="pct"/>
            <w:noWrap/>
            <w:hideMark/>
          </w:tcPr>
          <w:p w14:paraId="4E208A97" w14:textId="008A244E" w:rsidR="00303997" w:rsidRPr="00303997" w:rsidRDefault="00C774D6" w:rsidP="000B2F9E">
            <w:pPr>
              <w:pStyle w:val="TableColumnHeading"/>
              <w:jc w:val="center"/>
              <w:cnfStyle w:val="100000000000" w:firstRow="1" w:lastRow="0" w:firstColumn="0" w:lastColumn="0" w:oddVBand="0" w:evenVBand="0" w:oddHBand="0" w:evenHBand="0" w:firstRowFirstColumn="0" w:firstRowLastColumn="0" w:lastRowFirstColumn="0" w:lastRowLastColumn="0"/>
              <w:rPr>
                <w:lang w:eastAsia="en-AU"/>
              </w:rPr>
            </w:pPr>
            <w:r>
              <w:rPr>
                <w:lang w:eastAsia="en-AU"/>
              </w:rPr>
              <w:t xml:space="preserve">CPE </w:t>
            </w:r>
            <w:r w:rsidR="00303997">
              <w:rPr>
                <w:lang w:eastAsia="en-AU"/>
              </w:rPr>
              <w:t>Allowance claims</w:t>
            </w:r>
          </w:p>
        </w:tc>
        <w:tc>
          <w:tcPr>
            <w:tcW w:w="1977" w:type="pct"/>
          </w:tcPr>
          <w:p w14:paraId="5171938D" w14:textId="77777777" w:rsidR="00303997" w:rsidRDefault="00303997" w:rsidP="000B2F9E">
            <w:pPr>
              <w:pStyle w:val="TableColumnHeading"/>
              <w:jc w:val="center"/>
              <w:cnfStyle w:val="100000000000" w:firstRow="1" w:lastRow="0" w:firstColumn="0" w:lastColumn="0" w:oddVBand="0" w:evenVBand="0" w:oddHBand="0" w:evenHBand="0" w:firstRowFirstColumn="0" w:firstRowLastColumn="0" w:lastRowFirstColumn="0" w:lastRowLastColumn="0"/>
              <w:rPr>
                <w:lang w:eastAsia="en-AU"/>
              </w:rPr>
            </w:pPr>
            <w:r>
              <w:rPr>
                <w:lang w:eastAsia="en-AU"/>
              </w:rPr>
              <w:t xml:space="preserve">% of Total </w:t>
            </w:r>
          </w:p>
        </w:tc>
      </w:tr>
      <w:tr w:rsidR="00303997" w:rsidRPr="00303997" w14:paraId="64E29AF3" w14:textId="77777777" w:rsidTr="00303997">
        <w:trPr>
          <w:trHeight w:val="285"/>
        </w:trPr>
        <w:tc>
          <w:tcPr>
            <w:cnfStyle w:val="001000000000" w:firstRow="0" w:lastRow="0" w:firstColumn="1" w:lastColumn="0" w:oddVBand="0" w:evenVBand="0" w:oddHBand="0" w:evenHBand="0" w:firstRowFirstColumn="0" w:firstRowLastColumn="0" w:lastRowFirstColumn="0" w:lastRowLastColumn="0"/>
            <w:tcW w:w="1046" w:type="pct"/>
            <w:noWrap/>
            <w:hideMark/>
          </w:tcPr>
          <w:p w14:paraId="7DF787F8" w14:textId="77777777" w:rsidR="00303997" w:rsidRPr="00303997" w:rsidRDefault="00303997" w:rsidP="000B2F9E">
            <w:pPr>
              <w:pStyle w:val="TableCopy"/>
              <w:keepNext/>
              <w:rPr>
                <w:lang w:eastAsia="en-AU"/>
              </w:rPr>
            </w:pPr>
            <w:r w:rsidRPr="00303997">
              <w:rPr>
                <w:lang w:eastAsia="en-AU"/>
              </w:rPr>
              <w:t>NSW</w:t>
            </w:r>
          </w:p>
        </w:tc>
        <w:tc>
          <w:tcPr>
            <w:tcW w:w="1977" w:type="pct"/>
            <w:noWrap/>
            <w:hideMark/>
          </w:tcPr>
          <w:p w14:paraId="1C282257" w14:textId="77777777" w:rsidR="00303997" w:rsidRPr="00303997" w:rsidRDefault="00303997" w:rsidP="000B2F9E">
            <w:pPr>
              <w:pStyle w:val="TableCopy"/>
              <w:keepNext/>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303997">
              <w:rPr>
                <w:lang w:eastAsia="en-AU"/>
              </w:rPr>
              <w:t>452,424.79</w:t>
            </w:r>
          </w:p>
        </w:tc>
        <w:tc>
          <w:tcPr>
            <w:tcW w:w="1977" w:type="pct"/>
          </w:tcPr>
          <w:p w14:paraId="4ABA3726" w14:textId="77777777" w:rsidR="00303997" w:rsidRPr="008C5D19" w:rsidRDefault="00303997" w:rsidP="000B2F9E">
            <w:pPr>
              <w:pStyle w:val="TableCopy"/>
              <w:keepNext/>
              <w:jc w:val="center"/>
              <w:cnfStyle w:val="000000000000" w:firstRow="0" w:lastRow="0" w:firstColumn="0" w:lastColumn="0" w:oddVBand="0" w:evenVBand="0" w:oddHBand="0" w:evenHBand="0" w:firstRowFirstColumn="0" w:firstRowLastColumn="0" w:lastRowFirstColumn="0" w:lastRowLastColumn="0"/>
            </w:pPr>
            <w:r w:rsidRPr="008C5D19">
              <w:t>31.7%</w:t>
            </w:r>
          </w:p>
        </w:tc>
      </w:tr>
      <w:tr w:rsidR="00303997" w:rsidRPr="00303997" w14:paraId="44D49B67" w14:textId="77777777" w:rsidTr="00303997">
        <w:trPr>
          <w:trHeight w:val="285"/>
        </w:trPr>
        <w:tc>
          <w:tcPr>
            <w:cnfStyle w:val="001000000000" w:firstRow="0" w:lastRow="0" w:firstColumn="1" w:lastColumn="0" w:oddVBand="0" w:evenVBand="0" w:oddHBand="0" w:evenHBand="0" w:firstRowFirstColumn="0" w:firstRowLastColumn="0" w:lastRowFirstColumn="0" w:lastRowLastColumn="0"/>
            <w:tcW w:w="1046" w:type="pct"/>
            <w:noWrap/>
            <w:hideMark/>
          </w:tcPr>
          <w:p w14:paraId="645F3690" w14:textId="77777777" w:rsidR="00303997" w:rsidRPr="00303997" w:rsidRDefault="00303997" w:rsidP="000B2F9E">
            <w:pPr>
              <w:pStyle w:val="TableCopy"/>
              <w:keepNext/>
              <w:rPr>
                <w:lang w:eastAsia="en-AU"/>
              </w:rPr>
            </w:pPr>
            <w:r w:rsidRPr="00303997">
              <w:rPr>
                <w:lang w:eastAsia="en-AU"/>
              </w:rPr>
              <w:t>VIC</w:t>
            </w:r>
          </w:p>
        </w:tc>
        <w:tc>
          <w:tcPr>
            <w:tcW w:w="1977" w:type="pct"/>
            <w:noWrap/>
            <w:hideMark/>
          </w:tcPr>
          <w:p w14:paraId="33BD2DCC" w14:textId="77777777" w:rsidR="00303997" w:rsidRPr="00303997" w:rsidRDefault="00303997" w:rsidP="000B2F9E">
            <w:pPr>
              <w:pStyle w:val="TableCopy"/>
              <w:keepNext/>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303997">
              <w:rPr>
                <w:lang w:eastAsia="en-AU"/>
              </w:rPr>
              <w:t>247,561.09</w:t>
            </w:r>
          </w:p>
        </w:tc>
        <w:tc>
          <w:tcPr>
            <w:tcW w:w="1977" w:type="pct"/>
          </w:tcPr>
          <w:p w14:paraId="7B92ABC5" w14:textId="77777777" w:rsidR="00303997" w:rsidRPr="008C5D19" w:rsidRDefault="00303997" w:rsidP="000B2F9E">
            <w:pPr>
              <w:pStyle w:val="TableCopy"/>
              <w:keepNext/>
              <w:jc w:val="center"/>
              <w:cnfStyle w:val="000000000000" w:firstRow="0" w:lastRow="0" w:firstColumn="0" w:lastColumn="0" w:oddVBand="0" w:evenVBand="0" w:oddHBand="0" w:evenHBand="0" w:firstRowFirstColumn="0" w:firstRowLastColumn="0" w:lastRowFirstColumn="0" w:lastRowLastColumn="0"/>
            </w:pPr>
            <w:r w:rsidRPr="008C5D19">
              <w:t>17.4%</w:t>
            </w:r>
          </w:p>
        </w:tc>
      </w:tr>
      <w:tr w:rsidR="00303997" w:rsidRPr="00303997" w14:paraId="1D698DD0" w14:textId="77777777" w:rsidTr="00303997">
        <w:trPr>
          <w:trHeight w:val="285"/>
        </w:trPr>
        <w:tc>
          <w:tcPr>
            <w:cnfStyle w:val="001000000000" w:firstRow="0" w:lastRow="0" w:firstColumn="1" w:lastColumn="0" w:oddVBand="0" w:evenVBand="0" w:oddHBand="0" w:evenHBand="0" w:firstRowFirstColumn="0" w:firstRowLastColumn="0" w:lastRowFirstColumn="0" w:lastRowLastColumn="0"/>
            <w:tcW w:w="1046" w:type="pct"/>
            <w:noWrap/>
            <w:hideMark/>
          </w:tcPr>
          <w:p w14:paraId="2B5A9B8E" w14:textId="77777777" w:rsidR="00303997" w:rsidRPr="00303997" w:rsidRDefault="00303997" w:rsidP="000B2F9E">
            <w:pPr>
              <w:pStyle w:val="TableCopy"/>
              <w:keepNext/>
              <w:rPr>
                <w:lang w:eastAsia="en-AU"/>
              </w:rPr>
            </w:pPr>
            <w:r w:rsidRPr="00303997">
              <w:rPr>
                <w:lang w:eastAsia="en-AU"/>
              </w:rPr>
              <w:t>WA</w:t>
            </w:r>
          </w:p>
        </w:tc>
        <w:tc>
          <w:tcPr>
            <w:tcW w:w="1977" w:type="pct"/>
            <w:noWrap/>
            <w:hideMark/>
          </w:tcPr>
          <w:p w14:paraId="4E0E67F5" w14:textId="77777777" w:rsidR="00303997" w:rsidRPr="00303997" w:rsidRDefault="00303997" w:rsidP="000B2F9E">
            <w:pPr>
              <w:pStyle w:val="TableCopy"/>
              <w:keepNext/>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303997">
              <w:rPr>
                <w:lang w:eastAsia="en-AU"/>
              </w:rPr>
              <w:t>239,432.16</w:t>
            </w:r>
          </w:p>
        </w:tc>
        <w:tc>
          <w:tcPr>
            <w:tcW w:w="1977" w:type="pct"/>
          </w:tcPr>
          <w:p w14:paraId="19B705E3" w14:textId="77777777" w:rsidR="00303997" w:rsidRPr="008C5D19" w:rsidRDefault="00303997" w:rsidP="000B2F9E">
            <w:pPr>
              <w:pStyle w:val="TableCopy"/>
              <w:keepNext/>
              <w:jc w:val="center"/>
              <w:cnfStyle w:val="000000000000" w:firstRow="0" w:lastRow="0" w:firstColumn="0" w:lastColumn="0" w:oddVBand="0" w:evenVBand="0" w:oddHBand="0" w:evenHBand="0" w:firstRowFirstColumn="0" w:firstRowLastColumn="0" w:lastRowFirstColumn="0" w:lastRowLastColumn="0"/>
            </w:pPr>
            <w:r w:rsidRPr="008C5D19">
              <w:t>16.8%</w:t>
            </w:r>
          </w:p>
        </w:tc>
      </w:tr>
      <w:tr w:rsidR="00303997" w:rsidRPr="00303997" w14:paraId="7712812D" w14:textId="77777777" w:rsidTr="00303997">
        <w:trPr>
          <w:trHeight w:val="285"/>
        </w:trPr>
        <w:tc>
          <w:tcPr>
            <w:cnfStyle w:val="001000000000" w:firstRow="0" w:lastRow="0" w:firstColumn="1" w:lastColumn="0" w:oddVBand="0" w:evenVBand="0" w:oddHBand="0" w:evenHBand="0" w:firstRowFirstColumn="0" w:firstRowLastColumn="0" w:lastRowFirstColumn="0" w:lastRowLastColumn="0"/>
            <w:tcW w:w="1046" w:type="pct"/>
            <w:noWrap/>
            <w:hideMark/>
          </w:tcPr>
          <w:p w14:paraId="75722ED0" w14:textId="77777777" w:rsidR="00303997" w:rsidRPr="00303997" w:rsidRDefault="00303997" w:rsidP="000B2F9E">
            <w:pPr>
              <w:pStyle w:val="TableCopy"/>
              <w:keepNext/>
              <w:rPr>
                <w:lang w:eastAsia="en-AU"/>
              </w:rPr>
            </w:pPr>
            <w:r w:rsidRPr="00303997">
              <w:rPr>
                <w:lang w:eastAsia="en-AU"/>
              </w:rPr>
              <w:t>QLD</w:t>
            </w:r>
          </w:p>
        </w:tc>
        <w:tc>
          <w:tcPr>
            <w:tcW w:w="1977" w:type="pct"/>
            <w:noWrap/>
            <w:hideMark/>
          </w:tcPr>
          <w:p w14:paraId="387AE1FE" w14:textId="77777777" w:rsidR="00303997" w:rsidRPr="00303997" w:rsidRDefault="00303997" w:rsidP="000B2F9E">
            <w:pPr>
              <w:pStyle w:val="TableCopy"/>
              <w:keepNext/>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303997">
              <w:rPr>
                <w:lang w:eastAsia="en-AU"/>
              </w:rPr>
              <w:t>208,598.60</w:t>
            </w:r>
          </w:p>
        </w:tc>
        <w:tc>
          <w:tcPr>
            <w:tcW w:w="1977" w:type="pct"/>
          </w:tcPr>
          <w:p w14:paraId="5D3C8DA3" w14:textId="77777777" w:rsidR="00303997" w:rsidRPr="008C5D19" w:rsidRDefault="00303997" w:rsidP="000B2F9E">
            <w:pPr>
              <w:pStyle w:val="TableCopy"/>
              <w:keepNext/>
              <w:jc w:val="center"/>
              <w:cnfStyle w:val="000000000000" w:firstRow="0" w:lastRow="0" w:firstColumn="0" w:lastColumn="0" w:oddVBand="0" w:evenVBand="0" w:oddHBand="0" w:evenHBand="0" w:firstRowFirstColumn="0" w:firstRowLastColumn="0" w:lastRowFirstColumn="0" w:lastRowLastColumn="0"/>
            </w:pPr>
            <w:r w:rsidRPr="008C5D19">
              <w:t>14.6%</w:t>
            </w:r>
          </w:p>
        </w:tc>
      </w:tr>
      <w:tr w:rsidR="00303997" w:rsidRPr="00303997" w14:paraId="7267848D" w14:textId="77777777" w:rsidTr="00303997">
        <w:trPr>
          <w:trHeight w:val="285"/>
        </w:trPr>
        <w:tc>
          <w:tcPr>
            <w:cnfStyle w:val="001000000000" w:firstRow="0" w:lastRow="0" w:firstColumn="1" w:lastColumn="0" w:oddVBand="0" w:evenVBand="0" w:oddHBand="0" w:evenHBand="0" w:firstRowFirstColumn="0" w:firstRowLastColumn="0" w:lastRowFirstColumn="0" w:lastRowLastColumn="0"/>
            <w:tcW w:w="1046" w:type="pct"/>
            <w:noWrap/>
            <w:hideMark/>
          </w:tcPr>
          <w:p w14:paraId="1BF288D2" w14:textId="77777777" w:rsidR="00303997" w:rsidRPr="00303997" w:rsidRDefault="00303997" w:rsidP="000B2F9E">
            <w:pPr>
              <w:pStyle w:val="TableCopy"/>
              <w:keepNext/>
              <w:rPr>
                <w:lang w:eastAsia="en-AU"/>
              </w:rPr>
            </w:pPr>
            <w:r w:rsidRPr="00303997">
              <w:rPr>
                <w:lang w:eastAsia="en-AU"/>
              </w:rPr>
              <w:t>SA</w:t>
            </w:r>
          </w:p>
        </w:tc>
        <w:tc>
          <w:tcPr>
            <w:tcW w:w="1977" w:type="pct"/>
            <w:noWrap/>
            <w:hideMark/>
          </w:tcPr>
          <w:p w14:paraId="4277A24D" w14:textId="77777777" w:rsidR="00303997" w:rsidRPr="00303997" w:rsidRDefault="00303997" w:rsidP="000B2F9E">
            <w:pPr>
              <w:pStyle w:val="TableCopy"/>
              <w:keepNext/>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303997">
              <w:rPr>
                <w:lang w:eastAsia="en-AU"/>
              </w:rPr>
              <w:t>128,237.83</w:t>
            </w:r>
          </w:p>
        </w:tc>
        <w:tc>
          <w:tcPr>
            <w:tcW w:w="1977" w:type="pct"/>
          </w:tcPr>
          <w:p w14:paraId="029A3ECA" w14:textId="77777777" w:rsidR="00303997" w:rsidRPr="008C5D19" w:rsidRDefault="00303997" w:rsidP="000B2F9E">
            <w:pPr>
              <w:pStyle w:val="TableCopy"/>
              <w:keepNext/>
              <w:jc w:val="center"/>
              <w:cnfStyle w:val="000000000000" w:firstRow="0" w:lastRow="0" w:firstColumn="0" w:lastColumn="0" w:oddVBand="0" w:evenVBand="0" w:oddHBand="0" w:evenHBand="0" w:firstRowFirstColumn="0" w:firstRowLastColumn="0" w:lastRowFirstColumn="0" w:lastRowLastColumn="0"/>
            </w:pPr>
            <w:r w:rsidRPr="008C5D19">
              <w:t>9.0%</w:t>
            </w:r>
          </w:p>
        </w:tc>
      </w:tr>
      <w:tr w:rsidR="00303997" w:rsidRPr="00303997" w14:paraId="38D4BAAD" w14:textId="77777777" w:rsidTr="00303997">
        <w:trPr>
          <w:trHeight w:val="285"/>
        </w:trPr>
        <w:tc>
          <w:tcPr>
            <w:cnfStyle w:val="001000000000" w:firstRow="0" w:lastRow="0" w:firstColumn="1" w:lastColumn="0" w:oddVBand="0" w:evenVBand="0" w:oddHBand="0" w:evenHBand="0" w:firstRowFirstColumn="0" w:firstRowLastColumn="0" w:lastRowFirstColumn="0" w:lastRowLastColumn="0"/>
            <w:tcW w:w="1046" w:type="pct"/>
            <w:noWrap/>
            <w:hideMark/>
          </w:tcPr>
          <w:p w14:paraId="085505C5" w14:textId="77777777" w:rsidR="00303997" w:rsidRPr="00303997" w:rsidRDefault="00303997" w:rsidP="000B2F9E">
            <w:pPr>
              <w:pStyle w:val="TableCopy"/>
              <w:keepNext/>
              <w:rPr>
                <w:lang w:eastAsia="en-AU"/>
              </w:rPr>
            </w:pPr>
            <w:r w:rsidRPr="00303997">
              <w:rPr>
                <w:lang w:eastAsia="en-AU"/>
              </w:rPr>
              <w:t>NT</w:t>
            </w:r>
          </w:p>
        </w:tc>
        <w:tc>
          <w:tcPr>
            <w:tcW w:w="1977" w:type="pct"/>
            <w:noWrap/>
            <w:hideMark/>
          </w:tcPr>
          <w:p w14:paraId="40CB1A60" w14:textId="77777777" w:rsidR="00303997" w:rsidRPr="00303997" w:rsidRDefault="00303997" w:rsidP="000B2F9E">
            <w:pPr>
              <w:pStyle w:val="TableCopy"/>
              <w:keepNext/>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303997">
              <w:rPr>
                <w:lang w:eastAsia="en-AU"/>
              </w:rPr>
              <w:t>90,633.29</w:t>
            </w:r>
          </w:p>
        </w:tc>
        <w:tc>
          <w:tcPr>
            <w:tcW w:w="1977" w:type="pct"/>
          </w:tcPr>
          <w:p w14:paraId="4ABFBD79" w14:textId="77777777" w:rsidR="00303997" w:rsidRPr="008C5D19" w:rsidRDefault="00303997" w:rsidP="000B2F9E">
            <w:pPr>
              <w:pStyle w:val="TableCopy"/>
              <w:keepNext/>
              <w:jc w:val="center"/>
              <w:cnfStyle w:val="000000000000" w:firstRow="0" w:lastRow="0" w:firstColumn="0" w:lastColumn="0" w:oddVBand="0" w:evenVBand="0" w:oddHBand="0" w:evenHBand="0" w:firstRowFirstColumn="0" w:firstRowLastColumn="0" w:lastRowFirstColumn="0" w:lastRowLastColumn="0"/>
            </w:pPr>
            <w:r w:rsidRPr="008C5D19">
              <w:t>6.4%</w:t>
            </w:r>
          </w:p>
        </w:tc>
      </w:tr>
      <w:tr w:rsidR="00303997" w:rsidRPr="00303997" w14:paraId="433294FE" w14:textId="77777777" w:rsidTr="00303997">
        <w:trPr>
          <w:trHeight w:val="285"/>
        </w:trPr>
        <w:tc>
          <w:tcPr>
            <w:cnfStyle w:val="001000000000" w:firstRow="0" w:lastRow="0" w:firstColumn="1" w:lastColumn="0" w:oddVBand="0" w:evenVBand="0" w:oddHBand="0" w:evenHBand="0" w:firstRowFirstColumn="0" w:firstRowLastColumn="0" w:lastRowFirstColumn="0" w:lastRowLastColumn="0"/>
            <w:tcW w:w="1046" w:type="pct"/>
            <w:noWrap/>
            <w:hideMark/>
          </w:tcPr>
          <w:p w14:paraId="540A5204" w14:textId="77777777" w:rsidR="00303997" w:rsidRPr="00303997" w:rsidRDefault="00303997" w:rsidP="000B2F9E">
            <w:pPr>
              <w:pStyle w:val="TableCopy"/>
              <w:keepNext/>
              <w:rPr>
                <w:lang w:eastAsia="en-AU"/>
              </w:rPr>
            </w:pPr>
            <w:r w:rsidRPr="00303997">
              <w:rPr>
                <w:lang w:eastAsia="en-AU"/>
              </w:rPr>
              <w:t>TAS</w:t>
            </w:r>
          </w:p>
        </w:tc>
        <w:tc>
          <w:tcPr>
            <w:tcW w:w="1977" w:type="pct"/>
            <w:noWrap/>
            <w:hideMark/>
          </w:tcPr>
          <w:p w14:paraId="2AF9551F" w14:textId="77777777" w:rsidR="00303997" w:rsidRPr="00303997" w:rsidRDefault="00303997" w:rsidP="000B2F9E">
            <w:pPr>
              <w:pStyle w:val="TableCopy"/>
              <w:keepNext/>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303997">
              <w:rPr>
                <w:lang w:eastAsia="en-AU"/>
              </w:rPr>
              <w:t>58,470.14</w:t>
            </w:r>
          </w:p>
        </w:tc>
        <w:tc>
          <w:tcPr>
            <w:tcW w:w="1977" w:type="pct"/>
          </w:tcPr>
          <w:p w14:paraId="3A434ECB" w14:textId="77777777" w:rsidR="00303997" w:rsidRPr="008C5D19" w:rsidRDefault="00303997" w:rsidP="000B2F9E">
            <w:pPr>
              <w:pStyle w:val="TableCopy"/>
              <w:keepNext/>
              <w:jc w:val="center"/>
              <w:cnfStyle w:val="000000000000" w:firstRow="0" w:lastRow="0" w:firstColumn="0" w:lastColumn="0" w:oddVBand="0" w:evenVBand="0" w:oddHBand="0" w:evenHBand="0" w:firstRowFirstColumn="0" w:firstRowLastColumn="0" w:lastRowFirstColumn="0" w:lastRowLastColumn="0"/>
            </w:pPr>
            <w:r w:rsidRPr="008C5D19">
              <w:t>4.1%</w:t>
            </w:r>
          </w:p>
        </w:tc>
      </w:tr>
      <w:tr w:rsidR="00303997" w:rsidRPr="00303997" w14:paraId="5FB4A5AF" w14:textId="77777777" w:rsidTr="00303997">
        <w:trPr>
          <w:cnfStyle w:val="010000000000" w:firstRow="0" w:lastRow="1"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46" w:type="pct"/>
            <w:noWrap/>
            <w:hideMark/>
          </w:tcPr>
          <w:p w14:paraId="068AA68C" w14:textId="77777777" w:rsidR="00303997" w:rsidRPr="00303997" w:rsidRDefault="00303997" w:rsidP="000B2F9E">
            <w:pPr>
              <w:pStyle w:val="TableCopy"/>
              <w:keepNext/>
              <w:rPr>
                <w:lang w:eastAsia="en-AU"/>
              </w:rPr>
            </w:pPr>
            <w:r w:rsidRPr="00303997">
              <w:rPr>
                <w:lang w:eastAsia="en-AU"/>
              </w:rPr>
              <w:t>Grand Total</w:t>
            </w:r>
          </w:p>
        </w:tc>
        <w:tc>
          <w:tcPr>
            <w:tcW w:w="1977" w:type="pct"/>
            <w:noWrap/>
            <w:hideMark/>
          </w:tcPr>
          <w:p w14:paraId="10240D46" w14:textId="77777777" w:rsidR="00303997" w:rsidRPr="00303997" w:rsidRDefault="00303997" w:rsidP="000B2F9E">
            <w:pPr>
              <w:pStyle w:val="TableCopy"/>
              <w:keepNext/>
              <w:jc w:val="center"/>
              <w:cnfStyle w:val="010000000000" w:firstRow="0" w:lastRow="1"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303997">
              <w:rPr>
                <w:lang w:eastAsia="en-AU"/>
              </w:rPr>
              <w:t>1,425,357.90</w:t>
            </w:r>
          </w:p>
        </w:tc>
        <w:tc>
          <w:tcPr>
            <w:tcW w:w="1977" w:type="pct"/>
          </w:tcPr>
          <w:p w14:paraId="521DE3B0" w14:textId="77777777" w:rsidR="00303997" w:rsidRDefault="00303997" w:rsidP="000B2F9E">
            <w:pPr>
              <w:pStyle w:val="TableCopy"/>
              <w:keepNext/>
              <w:jc w:val="center"/>
              <w:cnfStyle w:val="010000000000" w:firstRow="0" w:lastRow="1" w:firstColumn="0" w:lastColumn="0" w:oddVBand="0" w:evenVBand="0" w:oddHBand="0" w:evenHBand="0" w:firstRowFirstColumn="0" w:firstRowLastColumn="0" w:lastRowFirstColumn="0" w:lastRowLastColumn="0"/>
            </w:pPr>
            <w:r w:rsidRPr="008C5D19">
              <w:t>100.0%</w:t>
            </w:r>
          </w:p>
        </w:tc>
      </w:tr>
    </w:tbl>
    <w:p w14:paraId="3045271B" w14:textId="3440EE5E" w:rsidR="00186EBF" w:rsidRDefault="00ED00D6" w:rsidP="00186EBF">
      <w:pPr>
        <w:pStyle w:val="BodyCopy"/>
      </w:pPr>
      <w:r>
        <w:t>Conversely</w:t>
      </w:r>
      <w:r w:rsidR="00C774D6">
        <w:t>,</w:t>
      </w:r>
      <w:r>
        <w:t xml:space="preserve"> </w:t>
      </w:r>
      <w:r w:rsidR="00A3747B">
        <w:t>most</w:t>
      </w:r>
      <w:r>
        <w:t xml:space="preserve"> educators ac</w:t>
      </w:r>
      <w:r w:rsidR="007228DF">
        <w:t>cessing the A</w:t>
      </w:r>
      <w:r>
        <w:t>llowance were based in Victoria (</w:t>
      </w:r>
      <w:r w:rsidR="004F50F5">
        <w:t>59.9</w:t>
      </w:r>
      <w:r>
        <w:t xml:space="preserve">%), with a further </w:t>
      </w:r>
      <w:r w:rsidR="004F50F5">
        <w:t>34.1</w:t>
      </w:r>
      <w:r>
        <w:t xml:space="preserve">% </w:t>
      </w:r>
      <w:r w:rsidR="007228DF">
        <w:t xml:space="preserve">based </w:t>
      </w:r>
      <w:r>
        <w:t xml:space="preserve">in South Australia. See </w:t>
      </w:r>
      <w:r w:rsidR="00932CCF">
        <w:fldChar w:fldCharType="begin"/>
      </w:r>
      <w:r w:rsidR="00932CCF">
        <w:instrText xml:space="preserve"> REF _Ref487111501 \h </w:instrText>
      </w:r>
      <w:r w:rsidR="00932CCF">
        <w:fldChar w:fldCharType="separate"/>
      </w:r>
      <w:r w:rsidR="00910E65">
        <w:t xml:space="preserve">Table </w:t>
      </w:r>
      <w:r w:rsidR="00910E65">
        <w:rPr>
          <w:noProof/>
        </w:rPr>
        <w:t>3</w:t>
      </w:r>
      <w:r w:rsidR="00910E65">
        <w:t>.</w:t>
      </w:r>
      <w:r w:rsidR="00910E65">
        <w:rPr>
          <w:noProof/>
        </w:rPr>
        <w:t>2</w:t>
      </w:r>
      <w:r w:rsidR="00932CCF">
        <w:fldChar w:fldCharType="end"/>
      </w:r>
      <w:r w:rsidR="00932CCF">
        <w:t xml:space="preserve">. </w:t>
      </w:r>
    </w:p>
    <w:p w14:paraId="602AB547" w14:textId="77777777" w:rsidR="00735952" w:rsidRDefault="00735952" w:rsidP="00303997">
      <w:pPr>
        <w:pStyle w:val="Caption"/>
      </w:pPr>
      <w:bookmarkStart w:id="46" w:name="_Ref487111501"/>
      <w:r>
        <w:br w:type="page"/>
      </w:r>
    </w:p>
    <w:p w14:paraId="67FA0C4D" w14:textId="3560DDD3" w:rsidR="00303997" w:rsidRPr="00303997" w:rsidRDefault="00303997" w:rsidP="00303997">
      <w:pPr>
        <w:pStyle w:val="Caption"/>
        <w:rPr>
          <w:rStyle w:val="Captionnotbold"/>
        </w:rPr>
      </w:pPr>
      <w:r>
        <w:lastRenderedPageBreak/>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3</w:t>
      </w:r>
      <w:r w:rsidR="00BC6E6C">
        <w:rPr>
          <w:noProof/>
        </w:rPr>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2</w:t>
      </w:r>
      <w:r w:rsidR="00BC6E6C">
        <w:rPr>
          <w:noProof/>
        </w:rPr>
        <w:fldChar w:fldCharType="end"/>
      </w:r>
      <w:bookmarkEnd w:id="46"/>
      <w:r>
        <w:t xml:space="preserve">: </w:t>
      </w:r>
      <w:r w:rsidRPr="00303997">
        <w:rPr>
          <w:rStyle w:val="Captionnotbold"/>
        </w:rPr>
        <w:t xml:space="preserve">CPE Allowance claims </w:t>
      </w:r>
      <w:r>
        <w:rPr>
          <w:rStyle w:val="Captionnotbold"/>
        </w:rPr>
        <w:t>for educators p</w:t>
      </w:r>
      <w:r w:rsidRPr="00303997">
        <w:rPr>
          <w:rStyle w:val="Captionnotbold"/>
        </w:rPr>
        <w:t>er jurisdiction, 2012</w:t>
      </w:r>
      <w:r w:rsidR="00C774D6">
        <w:rPr>
          <w:rStyle w:val="Captionnotbold"/>
        </w:rPr>
        <w:t>–</w:t>
      </w:r>
      <w:r w:rsidRPr="00303997">
        <w:rPr>
          <w:rStyle w:val="Captionnotbold"/>
        </w:rPr>
        <w:t>2015</w:t>
      </w:r>
    </w:p>
    <w:tbl>
      <w:tblPr>
        <w:tblStyle w:val="HMATable"/>
        <w:tblW w:w="5000" w:type="pct"/>
        <w:tblLook w:val="04E0" w:firstRow="1" w:lastRow="1" w:firstColumn="1" w:lastColumn="0" w:noHBand="0" w:noVBand="1"/>
        <w:tblCaption w:val="Table 3.2: CPE allowance claims for educators per juridiction, 2012-2015"/>
        <w:tblDescription w:val="Table 3.2: CPE allowance claims for educators per juridiction, 2012-2015"/>
      </w:tblPr>
      <w:tblGrid>
        <w:gridCol w:w="2435"/>
        <w:gridCol w:w="2434"/>
        <w:gridCol w:w="2165"/>
      </w:tblGrid>
      <w:tr w:rsidR="00932CCF" w:rsidRPr="00303997" w14:paraId="1780C4B1" w14:textId="77777777" w:rsidTr="00742880">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100" w:firstRow="0" w:lastRow="0" w:firstColumn="1" w:lastColumn="0" w:oddVBand="0" w:evenVBand="0" w:oddHBand="0" w:evenHBand="0" w:firstRowFirstColumn="1" w:firstRowLastColumn="0" w:lastRowFirstColumn="0" w:lastRowLastColumn="0"/>
            <w:tcW w:w="1731" w:type="pct"/>
            <w:noWrap/>
            <w:hideMark/>
          </w:tcPr>
          <w:p w14:paraId="7EB6C979" w14:textId="77777777" w:rsidR="00932CCF" w:rsidRPr="00303997" w:rsidRDefault="00932CCF" w:rsidP="00735952">
            <w:pPr>
              <w:pStyle w:val="TableColumnHeading"/>
              <w:keepNext w:val="0"/>
              <w:keepLines/>
              <w:rPr>
                <w:lang w:eastAsia="en-AU"/>
              </w:rPr>
            </w:pPr>
            <w:r>
              <w:rPr>
                <w:lang w:eastAsia="en-AU"/>
              </w:rPr>
              <w:t>Jurisdiction</w:t>
            </w:r>
          </w:p>
        </w:tc>
        <w:tc>
          <w:tcPr>
            <w:tcW w:w="1730" w:type="pct"/>
            <w:noWrap/>
            <w:hideMark/>
          </w:tcPr>
          <w:p w14:paraId="455C2F8D" w14:textId="55B8E443" w:rsidR="00932CCF" w:rsidRPr="00303997" w:rsidRDefault="00C774D6" w:rsidP="00735952">
            <w:pPr>
              <w:pStyle w:val="TableColumnHeading"/>
              <w:keepNext w:val="0"/>
              <w:keepLines/>
              <w:jc w:val="center"/>
              <w:cnfStyle w:val="100000000000" w:firstRow="1" w:lastRow="0" w:firstColumn="0" w:lastColumn="0" w:oddVBand="0" w:evenVBand="0" w:oddHBand="0" w:evenHBand="0" w:firstRowFirstColumn="0" w:firstRowLastColumn="0" w:lastRowFirstColumn="0" w:lastRowLastColumn="0"/>
              <w:rPr>
                <w:lang w:eastAsia="en-AU"/>
              </w:rPr>
            </w:pPr>
            <w:r>
              <w:rPr>
                <w:lang w:eastAsia="en-AU"/>
              </w:rPr>
              <w:t xml:space="preserve">CPE </w:t>
            </w:r>
            <w:r w:rsidR="00932CCF">
              <w:rPr>
                <w:lang w:eastAsia="en-AU"/>
              </w:rPr>
              <w:t>Allowance claims</w:t>
            </w:r>
          </w:p>
        </w:tc>
        <w:tc>
          <w:tcPr>
            <w:tcW w:w="1539" w:type="pct"/>
          </w:tcPr>
          <w:p w14:paraId="7C991327" w14:textId="77777777" w:rsidR="00932CCF" w:rsidRDefault="00932CCF" w:rsidP="00735952">
            <w:pPr>
              <w:pStyle w:val="TableColumnHeading"/>
              <w:keepNext w:val="0"/>
              <w:keepLines/>
              <w:jc w:val="center"/>
              <w:cnfStyle w:val="100000000000" w:firstRow="1" w:lastRow="0" w:firstColumn="0" w:lastColumn="0" w:oddVBand="0" w:evenVBand="0" w:oddHBand="0" w:evenHBand="0" w:firstRowFirstColumn="0" w:firstRowLastColumn="0" w:lastRowFirstColumn="0" w:lastRowLastColumn="0"/>
              <w:rPr>
                <w:lang w:eastAsia="en-AU"/>
              </w:rPr>
            </w:pPr>
            <w:r>
              <w:rPr>
                <w:lang w:eastAsia="en-AU"/>
              </w:rPr>
              <w:t>% of Total</w:t>
            </w:r>
          </w:p>
        </w:tc>
      </w:tr>
      <w:tr w:rsidR="00932CCF" w:rsidRPr="00303997" w14:paraId="7E041FDB" w14:textId="77777777" w:rsidTr="00932CCF">
        <w:trPr>
          <w:trHeight w:val="285"/>
        </w:trPr>
        <w:tc>
          <w:tcPr>
            <w:cnfStyle w:val="001000000000" w:firstRow="0" w:lastRow="0" w:firstColumn="1" w:lastColumn="0" w:oddVBand="0" w:evenVBand="0" w:oddHBand="0" w:evenHBand="0" w:firstRowFirstColumn="0" w:firstRowLastColumn="0" w:lastRowFirstColumn="0" w:lastRowLastColumn="0"/>
            <w:tcW w:w="1731" w:type="pct"/>
            <w:noWrap/>
            <w:hideMark/>
          </w:tcPr>
          <w:p w14:paraId="42068827" w14:textId="77777777" w:rsidR="00932CCF" w:rsidRPr="00303997" w:rsidRDefault="00932CCF" w:rsidP="00735952">
            <w:pPr>
              <w:pStyle w:val="TableCopy"/>
              <w:keepLines/>
              <w:rPr>
                <w:lang w:eastAsia="en-AU"/>
              </w:rPr>
            </w:pPr>
            <w:r w:rsidRPr="00303997">
              <w:rPr>
                <w:lang w:eastAsia="en-AU"/>
              </w:rPr>
              <w:t>VIC</w:t>
            </w:r>
          </w:p>
        </w:tc>
        <w:tc>
          <w:tcPr>
            <w:tcW w:w="1730" w:type="pct"/>
            <w:noWrap/>
            <w:hideMark/>
          </w:tcPr>
          <w:p w14:paraId="0FA20F72" w14:textId="77777777" w:rsidR="00932CCF" w:rsidRPr="00303997" w:rsidRDefault="00932CCF" w:rsidP="00735952">
            <w:pPr>
              <w:pStyle w:val="TableCopy"/>
              <w:keepLines/>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303997">
              <w:rPr>
                <w:lang w:eastAsia="en-AU"/>
              </w:rPr>
              <w:t>30,783.15</w:t>
            </w:r>
          </w:p>
        </w:tc>
        <w:tc>
          <w:tcPr>
            <w:tcW w:w="1539" w:type="pct"/>
          </w:tcPr>
          <w:p w14:paraId="573742A2" w14:textId="77777777" w:rsidR="00932CCF" w:rsidRPr="00AF0132" w:rsidRDefault="00932CCF" w:rsidP="00735952">
            <w:pPr>
              <w:keepLines/>
              <w:jc w:val="center"/>
              <w:cnfStyle w:val="000000000000" w:firstRow="0" w:lastRow="0" w:firstColumn="0" w:lastColumn="0" w:oddVBand="0" w:evenVBand="0" w:oddHBand="0" w:evenHBand="0" w:firstRowFirstColumn="0" w:firstRowLastColumn="0" w:lastRowFirstColumn="0" w:lastRowLastColumn="0"/>
            </w:pPr>
            <w:r w:rsidRPr="00AF0132">
              <w:t>59.9%</w:t>
            </w:r>
          </w:p>
        </w:tc>
      </w:tr>
      <w:tr w:rsidR="00932CCF" w:rsidRPr="00303997" w14:paraId="26AEA66D" w14:textId="77777777" w:rsidTr="00932CCF">
        <w:trPr>
          <w:trHeight w:val="285"/>
        </w:trPr>
        <w:tc>
          <w:tcPr>
            <w:cnfStyle w:val="001000000000" w:firstRow="0" w:lastRow="0" w:firstColumn="1" w:lastColumn="0" w:oddVBand="0" w:evenVBand="0" w:oddHBand="0" w:evenHBand="0" w:firstRowFirstColumn="0" w:firstRowLastColumn="0" w:lastRowFirstColumn="0" w:lastRowLastColumn="0"/>
            <w:tcW w:w="1731" w:type="pct"/>
            <w:noWrap/>
            <w:hideMark/>
          </w:tcPr>
          <w:p w14:paraId="7F47210C" w14:textId="77777777" w:rsidR="00932CCF" w:rsidRPr="00303997" w:rsidRDefault="00932CCF" w:rsidP="00735952">
            <w:pPr>
              <w:pStyle w:val="TableCopy"/>
              <w:keepLines/>
              <w:rPr>
                <w:lang w:eastAsia="en-AU"/>
              </w:rPr>
            </w:pPr>
            <w:r w:rsidRPr="00303997">
              <w:rPr>
                <w:lang w:eastAsia="en-AU"/>
              </w:rPr>
              <w:t>SA</w:t>
            </w:r>
          </w:p>
        </w:tc>
        <w:tc>
          <w:tcPr>
            <w:tcW w:w="1730" w:type="pct"/>
            <w:noWrap/>
            <w:hideMark/>
          </w:tcPr>
          <w:p w14:paraId="66CBB960" w14:textId="77777777" w:rsidR="00932CCF" w:rsidRPr="00303997" w:rsidRDefault="00932CCF" w:rsidP="00735952">
            <w:pPr>
              <w:pStyle w:val="TableCopy"/>
              <w:keepLines/>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303997">
              <w:rPr>
                <w:lang w:eastAsia="en-AU"/>
              </w:rPr>
              <w:t>17,530.84</w:t>
            </w:r>
          </w:p>
        </w:tc>
        <w:tc>
          <w:tcPr>
            <w:tcW w:w="1539" w:type="pct"/>
          </w:tcPr>
          <w:p w14:paraId="309386FF" w14:textId="77777777" w:rsidR="00932CCF" w:rsidRPr="00AF0132" w:rsidRDefault="00932CCF" w:rsidP="00735952">
            <w:pPr>
              <w:keepLines/>
              <w:jc w:val="center"/>
              <w:cnfStyle w:val="000000000000" w:firstRow="0" w:lastRow="0" w:firstColumn="0" w:lastColumn="0" w:oddVBand="0" w:evenVBand="0" w:oddHBand="0" w:evenHBand="0" w:firstRowFirstColumn="0" w:firstRowLastColumn="0" w:lastRowFirstColumn="0" w:lastRowLastColumn="0"/>
            </w:pPr>
            <w:r w:rsidRPr="00AF0132">
              <w:t>34.1%</w:t>
            </w:r>
          </w:p>
        </w:tc>
      </w:tr>
      <w:tr w:rsidR="00932CCF" w:rsidRPr="00303997" w14:paraId="3032D8EE" w14:textId="77777777" w:rsidTr="00932CCF">
        <w:trPr>
          <w:trHeight w:val="285"/>
        </w:trPr>
        <w:tc>
          <w:tcPr>
            <w:cnfStyle w:val="001000000000" w:firstRow="0" w:lastRow="0" w:firstColumn="1" w:lastColumn="0" w:oddVBand="0" w:evenVBand="0" w:oddHBand="0" w:evenHBand="0" w:firstRowFirstColumn="0" w:firstRowLastColumn="0" w:lastRowFirstColumn="0" w:lastRowLastColumn="0"/>
            <w:tcW w:w="1731" w:type="pct"/>
            <w:noWrap/>
            <w:hideMark/>
          </w:tcPr>
          <w:p w14:paraId="15336982" w14:textId="77777777" w:rsidR="00932CCF" w:rsidRPr="00303997" w:rsidRDefault="00932CCF" w:rsidP="00735952">
            <w:pPr>
              <w:pStyle w:val="TableCopy"/>
              <w:keepLines/>
              <w:rPr>
                <w:lang w:eastAsia="en-AU"/>
              </w:rPr>
            </w:pPr>
            <w:r w:rsidRPr="00303997">
              <w:rPr>
                <w:lang w:eastAsia="en-AU"/>
              </w:rPr>
              <w:t>WA</w:t>
            </w:r>
          </w:p>
        </w:tc>
        <w:tc>
          <w:tcPr>
            <w:tcW w:w="1730" w:type="pct"/>
            <w:noWrap/>
            <w:hideMark/>
          </w:tcPr>
          <w:p w14:paraId="706365C2" w14:textId="77777777" w:rsidR="00932CCF" w:rsidRPr="00303997" w:rsidRDefault="00932CCF" w:rsidP="00735952">
            <w:pPr>
              <w:pStyle w:val="TableCopy"/>
              <w:keepLines/>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303997">
              <w:rPr>
                <w:lang w:eastAsia="en-AU"/>
              </w:rPr>
              <w:t>1,680.00</w:t>
            </w:r>
          </w:p>
        </w:tc>
        <w:tc>
          <w:tcPr>
            <w:tcW w:w="1539" w:type="pct"/>
          </w:tcPr>
          <w:p w14:paraId="3043B2E5" w14:textId="77777777" w:rsidR="00932CCF" w:rsidRPr="00AF0132" w:rsidRDefault="00932CCF" w:rsidP="00735952">
            <w:pPr>
              <w:keepLines/>
              <w:jc w:val="center"/>
              <w:cnfStyle w:val="000000000000" w:firstRow="0" w:lastRow="0" w:firstColumn="0" w:lastColumn="0" w:oddVBand="0" w:evenVBand="0" w:oddHBand="0" w:evenHBand="0" w:firstRowFirstColumn="0" w:firstRowLastColumn="0" w:lastRowFirstColumn="0" w:lastRowLastColumn="0"/>
            </w:pPr>
            <w:r w:rsidRPr="00AF0132">
              <w:t>3.3%</w:t>
            </w:r>
          </w:p>
        </w:tc>
      </w:tr>
      <w:tr w:rsidR="00932CCF" w:rsidRPr="00303997" w14:paraId="2B36316B" w14:textId="77777777" w:rsidTr="00932CCF">
        <w:trPr>
          <w:trHeight w:val="285"/>
        </w:trPr>
        <w:tc>
          <w:tcPr>
            <w:cnfStyle w:val="001000000000" w:firstRow="0" w:lastRow="0" w:firstColumn="1" w:lastColumn="0" w:oddVBand="0" w:evenVBand="0" w:oddHBand="0" w:evenHBand="0" w:firstRowFirstColumn="0" w:firstRowLastColumn="0" w:lastRowFirstColumn="0" w:lastRowLastColumn="0"/>
            <w:tcW w:w="1731" w:type="pct"/>
            <w:noWrap/>
            <w:hideMark/>
          </w:tcPr>
          <w:p w14:paraId="29B8DEDB" w14:textId="77777777" w:rsidR="00932CCF" w:rsidRPr="00303997" w:rsidRDefault="00932CCF" w:rsidP="00735952">
            <w:pPr>
              <w:pStyle w:val="TableCopy"/>
              <w:keepLines/>
              <w:rPr>
                <w:lang w:eastAsia="en-AU"/>
              </w:rPr>
            </w:pPr>
            <w:r w:rsidRPr="00303997">
              <w:rPr>
                <w:lang w:eastAsia="en-AU"/>
              </w:rPr>
              <w:t>TAS</w:t>
            </w:r>
          </w:p>
        </w:tc>
        <w:tc>
          <w:tcPr>
            <w:tcW w:w="1730" w:type="pct"/>
            <w:noWrap/>
            <w:hideMark/>
          </w:tcPr>
          <w:p w14:paraId="344A3A78" w14:textId="77777777" w:rsidR="00932CCF" w:rsidRPr="00303997" w:rsidRDefault="00932CCF" w:rsidP="00735952">
            <w:pPr>
              <w:pStyle w:val="TableCopy"/>
              <w:keepLines/>
              <w:spacing w:line="360" w:lineRule="auto"/>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303997">
              <w:rPr>
                <w:lang w:eastAsia="en-AU"/>
              </w:rPr>
              <w:t>708.41</w:t>
            </w:r>
          </w:p>
        </w:tc>
        <w:tc>
          <w:tcPr>
            <w:tcW w:w="1539" w:type="pct"/>
          </w:tcPr>
          <w:p w14:paraId="1EB1EF4D" w14:textId="77777777" w:rsidR="00932CCF" w:rsidRPr="00AF0132" w:rsidRDefault="00932CCF" w:rsidP="00735952">
            <w:pPr>
              <w:keepLines/>
              <w:jc w:val="center"/>
              <w:cnfStyle w:val="000000000000" w:firstRow="0" w:lastRow="0" w:firstColumn="0" w:lastColumn="0" w:oddVBand="0" w:evenVBand="0" w:oddHBand="0" w:evenHBand="0" w:firstRowFirstColumn="0" w:firstRowLastColumn="0" w:lastRowFirstColumn="0" w:lastRowLastColumn="0"/>
            </w:pPr>
            <w:r w:rsidRPr="00AF0132">
              <w:t>1.4%</w:t>
            </w:r>
          </w:p>
        </w:tc>
      </w:tr>
      <w:tr w:rsidR="00932CCF" w:rsidRPr="00303997" w14:paraId="1C682BF2" w14:textId="77777777" w:rsidTr="00932CCF">
        <w:trPr>
          <w:trHeight w:val="285"/>
        </w:trPr>
        <w:tc>
          <w:tcPr>
            <w:cnfStyle w:val="001000000000" w:firstRow="0" w:lastRow="0" w:firstColumn="1" w:lastColumn="0" w:oddVBand="0" w:evenVBand="0" w:oddHBand="0" w:evenHBand="0" w:firstRowFirstColumn="0" w:firstRowLastColumn="0" w:lastRowFirstColumn="0" w:lastRowLastColumn="0"/>
            <w:tcW w:w="1731" w:type="pct"/>
            <w:noWrap/>
            <w:hideMark/>
          </w:tcPr>
          <w:p w14:paraId="5912A48B" w14:textId="77777777" w:rsidR="00932CCF" w:rsidRPr="00303997" w:rsidRDefault="00932CCF" w:rsidP="00735952">
            <w:pPr>
              <w:pStyle w:val="TableCopy"/>
              <w:keepLines/>
              <w:rPr>
                <w:lang w:eastAsia="en-AU"/>
              </w:rPr>
            </w:pPr>
            <w:r w:rsidRPr="00303997">
              <w:rPr>
                <w:lang w:eastAsia="en-AU"/>
              </w:rPr>
              <w:t>NSW</w:t>
            </w:r>
          </w:p>
        </w:tc>
        <w:tc>
          <w:tcPr>
            <w:tcW w:w="1730" w:type="pct"/>
            <w:noWrap/>
            <w:hideMark/>
          </w:tcPr>
          <w:p w14:paraId="3B3F5E0F" w14:textId="77777777" w:rsidR="00932CCF" w:rsidRPr="00303997" w:rsidRDefault="00932CCF" w:rsidP="00735952">
            <w:pPr>
              <w:pStyle w:val="TableCopy"/>
              <w:keepLines/>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303997">
              <w:rPr>
                <w:lang w:eastAsia="en-AU"/>
              </w:rPr>
              <w:t>701.51</w:t>
            </w:r>
          </w:p>
        </w:tc>
        <w:tc>
          <w:tcPr>
            <w:tcW w:w="1539" w:type="pct"/>
          </w:tcPr>
          <w:p w14:paraId="09083F11" w14:textId="77777777" w:rsidR="00932CCF" w:rsidRPr="00AF0132" w:rsidRDefault="00932CCF" w:rsidP="00735952">
            <w:pPr>
              <w:keepLines/>
              <w:jc w:val="center"/>
              <w:cnfStyle w:val="000000000000" w:firstRow="0" w:lastRow="0" w:firstColumn="0" w:lastColumn="0" w:oddVBand="0" w:evenVBand="0" w:oddHBand="0" w:evenHBand="0" w:firstRowFirstColumn="0" w:firstRowLastColumn="0" w:lastRowFirstColumn="0" w:lastRowLastColumn="0"/>
            </w:pPr>
            <w:r w:rsidRPr="00AF0132">
              <w:t>1.4%</w:t>
            </w:r>
          </w:p>
        </w:tc>
      </w:tr>
      <w:tr w:rsidR="00932CCF" w:rsidRPr="00303997" w14:paraId="3D921BCB" w14:textId="77777777" w:rsidTr="00932CCF">
        <w:trPr>
          <w:cnfStyle w:val="010000000000" w:firstRow="0" w:lastRow="1"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731" w:type="pct"/>
            <w:noWrap/>
            <w:hideMark/>
          </w:tcPr>
          <w:p w14:paraId="636AA24D" w14:textId="77777777" w:rsidR="00932CCF" w:rsidRPr="00303997" w:rsidRDefault="00932CCF" w:rsidP="00735952">
            <w:pPr>
              <w:pStyle w:val="TableCopy"/>
              <w:keepLines/>
              <w:rPr>
                <w:lang w:eastAsia="en-AU"/>
              </w:rPr>
            </w:pPr>
            <w:r w:rsidRPr="00303997">
              <w:rPr>
                <w:lang w:eastAsia="en-AU"/>
              </w:rPr>
              <w:t>Grand Total</w:t>
            </w:r>
          </w:p>
        </w:tc>
        <w:tc>
          <w:tcPr>
            <w:tcW w:w="1730" w:type="pct"/>
            <w:noWrap/>
            <w:hideMark/>
          </w:tcPr>
          <w:p w14:paraId="0CE15771" w14:textId="77777777" w:rsidR="00932CCF" w:rsidRPr="00303997" w:rsidRDefault="00932CCF" w:rsidP="00735952">
            <w:pPr>
              <w:pStyle w:val="TableCopy"/>
              <w:keepLines/>
              <w:jc w:val="center"/>
              <w:cnfStyle w:val="010000000000" w:firstRow="0" w:lastRow="1"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303997">
              <w:rPr>
                <w:lang w:eastAsia="en-AU"/>
              </w:rPr>
              <w:t>51,403.91</w:t>
            </w:r>
          </w:p>
        </w:tc>
        <w:tc>
          <w:tcPr>
            <w:tcW w:w="1539" w:type="pct"/>
          </w:tcPr>
          <w:p w14:paraId="3BE43A01" w14:textId="77777777" w:rsidR="00932CCF" w:rsidRDefault="00932CCF" w:rsidP="00735952">
            <w:pPr>
              <w:keepLines/>
              <w:jc w:val="center"/>
              <w:cnfStyle w:val="010000000000" w:firstRow="0" w:lastRow="1" w:firstColumn="0" w:lastColumn="0" w:oddVBand="0" w:evenVBand="0" w:oddHBand="0" w:evenHBand="0" w:firstRowFirstColumn="0" w:firstRowLastColumn="0" w:lastRowFirstColumn="0" w:lastRowLastColumn="0"/>
            </w:pPr>
            <w:r w:rsidRPr="00AF0132">
              <w:t>100.0%</w:t>
            </w:r>
          </w:p>
        </w:tc>
      </w:tr>
    </w:tbl>
    <w:p w14:paraId="29411603" w14:textId="3504F7E9" w:rsidR="007228DF" w:rsidRDefault="007228DF" w:rsidP="007228DF">
      <w:pPr>
        <w:pStyle w:val="BodyCopy"/>
      </w:pPr>
      <w:r w:rsidRPr="00582041">
        <w:t xml:space="preserve">Analysis by remoteness as assessed by </w:t>
      </w:r>
      <w:proofErr w:type="spellStart"/>
      <w:r>
        <w:t>PhARIA</w:t>
      </w:r>
      <w:proofErr w:type="spellEnd"/>
      <w:r>
        <w:t xml:space="preserve"> for calendar years 2013 to 2015</w:t>
      </w:r>
      <w:r>
        <w:rPr>
          <w:rStyle w:val="FootnoteReference"/>
        </w:rPr>
        <w:footnoteReference w:id="5"/>
      </w:r>
      <w:r>
        <w:t xml:space="preserve">, showed that almost half of the CPE Allowance funds provided to pharmacists </w:t>
      </w:r>
      <w:r w:rsidR="00D146E9">
        <w:t xml:space="preserve">are to those </w:t>
      </w:r>
      <w:r>
        <w:t xml:space="preserve">located in </w:t>
      </w:r>
      <w:proofErr w:type="spellStart"/>
      <w:r>
        <w:t>PhARIA</w:t>
      </w:r>
      <w:proofErr w:type="spellEnd"/>
      <w:r>
        <w:t xml:space="preserve"> 2 (average of 21.9%) or </w:t>
      </w:r>
      <w:proofErr w:type="spellStart"/>
      <w:r>
        <w:t>PhARIA</w:t>
      </w:r>
      <w:proofErr w:type="spellEnd"/>
      <w:r>
        <w:t xml:space="preserve"> 3 (average of 27.1%) areas. The remaining distribution increases as remoteness increases: </w:t>
      </w:r>
      <w:proofErr w:type="spellStart"/>
      <w:r>
        <w:t>PhARIA</w:t>
      </w:r>
      <w:proofErr w:type="spellEnd"/>
      <w:r>
        <w:t xml:space="preserve"> 4 – average 12.9%, </w:t>
      </w:r>
      <w:proofErr w:type="spellStart"/>
      <w:r>
        <w:t>PhARIA</w:t>
      </w:r>
      <w:proofErr w:type="spellEnd"/>
      <w:r>
        <w:t xml:space="preserve"> 5 – average 15.7%, and </w:t>
      </w:r>
      <w:proofErr w:type="spellStart"/>
      <w:r>
        <w:t>PhARIA</w:t>
      </w:r>
      <w:proofErr w:type="spellEnd"/>
      <w:r>
        <w:t xml:space="preserve"> 6 – average 17.7%.</w:t>
      </w:r>
      <w:r w:rsidR="000B2F9E">
        <w:t xml:space="preserve"> See</w:t>
      </w:r>
      <w:r>
        <w:t xml:space="preserve"> </w:t>
      </w:r>
      <w:r w:rsidR="00F64EBD">
        <w:fldChar w:fldCharType="begin"/>
      </w:r>
      <w:r w:rsidR="00F64EBD">
        <w:instrText xml:space="preserve"> REF _Ref487112358 \h </w:instrText>
      </w:r>
      <w:r w:rsidR="00F64EBD">
        <w:fldChar w:fldCharType="separate"/>
      </w:r>
      <w:r w:rsidR="00910E65">
        <w:t xml:space="preserve">Table </w:t>
      </w:r>
      <w:r w:rsidR="00910E65">
        <w:rPr>
          <w:noProof/>
        </w:rPr>
        <w:t>3</w:t>
      </w:r>
      <w:r w:rsidR="00910E65">
        <w:t>.</w:t>
      </w:r>
      <w:r w:rsidR="00910E65">
        <w:rPr>
          <w:noProof/>
        </w:rPr>
        <w:t>3</w:t>
      </w:r>
      <w:r w:rsidR="00F64EBD">
        <w:fldChar w:fldCharType="end"/>
      </w:r>
      <w:r w:rsidR="000B2F9E">
        <w:t>.</w:t>
      </w:r>
    </w:p>
    <w:p w14:paraId="40F62DB5" w14:textId="4F480550" w:rsidR="00F64EBD" w:rsidRPr="00303997" w:rsidRDefault="00F64EBD" w:rsidP="00F64EBD">
      <w:pPr>
        <w:pStyle w:val="Caption"/>
        <w:rPr>
          <w:rStyle w:val="Captionnotbold"/>
        </w:rPr>
      </w:pPr>
      <w:bookmarkStart w:id="47" w:name="_Ref487112358"/>
      <w:r>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3</w:t>
      </w:r>
      <w:r w:rsidR="00BC6E6C">
        <w:rPr>
          <w:noProof/>
        </w:rPr>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3</w:t>
      </w:r>
      <w:r w:rsidR="00BC6E6C">
        <w:rPr>
          <w:noProof/>
        </w:rPr>
        <w:fldChar w:fldCharType="end"/>
      </w:r>
      <w:bookmarkEnd w:id="47"/>
      <w:r>
        <w:t xml:space="preserve">: </w:t>
      </w:r>
      <w:r w:rsidRPr="00303997">
        <w:rPr>
          <w:rStyle w:val="Captionnotbold"/>
        </w:rPr>
        <w:t xml:space="preserve">CPE Allowance claims </w:t>
      </w:r>
      <w:r>
        <w:rPr>
          <w:rStyle w:val="Captionnotbold"/>
        </w:rPr>
        <w:t>for pharmacists p</w:t>
      </w:r>
      <w:r w:rsidRPr="00303997">
        <w:rPr>
          <w:rStyle w:val="Captionnotbold"/>
        </w:rPr>
        <w:t xml:space="preserve">er </w:t>
      </w:r>
      <w:proofErr w:type="spellStart"/>
      <w:r>
        <w:rPr>
          <w:rStyle w:val="Captionnotbold"/>
        </w:rPr>
        <w:t>PhARIA</w:t>
      </w:r>
      <w:proofErr w:type="spellEnd"/>
      <w:r w:rsidRPr="00303997">
        <w:rPr>
          <w:rStyle w:val="Captionnotbold"/>
        </w:rPr>
        <w:t>, 201</w:t>
      </w:r>
      <w:r>
        <w:rPr>
          <w:rStyle w:val="Captionnotbold"/>
        </w:rPr>
        <w:t>3</w:t>
      </w:r>
      <w:r w:rsidR="00C774D6">
        <w:rPr>
          <w:rStyle w:val="Captionnotbold"/>
        </w:rPr>
        <w:t>–</w:t>
      </w:r>
      <w:r w:rsidRPr="00303997">
        <w:rPr>
          <w:rStyle w:val="Captionnotbold"/>
        </w:rPr>
        <w:t>2015</w:t>
      </w:r>
      <w:r>
        <w:rPr>
          <w:rStyle w:val="Captionnotbold"/>
        </w:rPr>
        <w:t>*</w:t>
      </w:r>
    </w:p>
    <w:tbl>
      <w:tblPr>
        <w:tblStyle w:val="HMATable"/>
        <w:tblW w:w="6940" w:type="dxa"/>
        <w:tblLook w:val="04E0" w:firstRow="1" w:lastRow="1" w:firstColumn="1" w:lastColumn="0" w:noHBand="0" w:noVBand="1"/>
        <w:tblCaption w:val="Table 3.3: CPE allowance claims for pharmacists per PhARIA, 2013-2015"/>
        <w:tblDescription w:val="Table 3.3: CPE allowance claims for pharmacists per PhARIA, 2013-2015"/>
      </w:tblPr>
      <w:tblGrid>
        <w:gridCol w:w="1500"/>
        <w:gridCol w:w="2660"/>
        <w:gridCol w:w="2780"/>
      </w:tblGrid>
      <w:tr w:rsidR="00932CCF" w:rsidRPr="00932CCF" w14:paraId="4D452318" w14:textId="77777777" w:rsidTr="00742880">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100" w:firstRow="0" w:lastRow="0" w:firstColumn="1" w:lastColumn="0" w:oddVBand="0" w:evenVBand="0" w:oddHBand="0" w:evenHBand="0" w:firstRowFirstColumn="1" w:firstRowLastColumn="0" w:lastRowFirstColumn="0" w:lastRowLastColumn="0"/>
            <w:tcW w:w="1500" w:type="dxa"/>
            <w:noWrap/>
            <w:hideMark/>
          </w:tcPr>
          <w:p w14:paraId="3F445092" w14:textId="77777777" w:rsidR="00932CCF" w:rsidRPr="00F64EBD" w:rsidRDefault="00F64EBD" w:rsidP="00F64EBD">
            <w:pPr>
              <w:pStyle w:val="TableColumnHeading"/>
            </w:pPr>
            <w:proofErr w:type="spellStart"/>
            <w:r>
              <w:t>PhARIA</w:t>
            </w:r>
            <w:proofErr w:type="spellEnd"/>
          </w:p>
        </w:tc>
        <w:tc>
          <w:tcPr>
            <w:tcW w:w="2660" w:type="dxa"/>
            <w:noWrap/>
            <w:hideMark/>
          </w:tcPr>
          <w:p w14:paraId="3AD3C662" w14:textId="4453BC05" w:rsidR="00932CCF" w:rsidRPr="00932CCF" w:rsidRDefault="00C774D6" w:rsidP="00F64EBD">
            <w:pPr>
              <w:pStyle w:val="TableColumnHeading"/>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pacing w:val="0"/>
                <w:szCs w:val="22"/>
                <w:lang w:eastAsia="en-AU"/>
              </w:rPr>
            </w:pPr>
            <w:r>
              <w:rPr>
                <w:lang w:eastAsia="en-AU"/>
              </w:rPr>
              <w:t xml:space="preserve">CPE </w:t>
            </w:r>
            <w:r w:rsidR="00F64EBD">
              <w:rPr>
                <w:lang w:eastAsia="en-AU"/>
              </w:rPr>
              <w:t>Allowance claims</w:t>
            </w:r>
          </w:p>
        </w:tc>
        <w:tc>
          <w:tcPr>
            <w:tcW w:w="2780" w:type="dxa"/>
            <w:noWrap/>
            <w:hideMark/>
          </w:tcPr>
          <w:p w14:paraId="696E732B" w14:textId="77777777" w:rsidR="00932CCF" w:rsidRPr="00932CCF" w:rsidRDefault="00F64EBD" w:rsidP="00F64EBD">
            <w:pPr>
              <w:pStyle w:val="TableColumnHeading"/>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pacing w:val="0"/>
                <w:szCs w:val="22"/>
                <w:lang w:eastAsia="en-AU"/>
              </w:rPr>
            </w:pPr>
            <w:r>
              <w:rPr>
                <w:lang w:eastAsia="en-AU"/>
              </w:rPr>
              <w:t>% of Total</w:t>
            </w:r>
          </w:p>
        </w:tc>
      </w:tr>
      <w:tr w:rsidR="00932CCF" w:rsidRPr="00F64EBD" w14:paraId="59637ED2" w14:textId="77777777" w:rsidTr="00F64EBD">
        <w:trPr>
          <w:trHeight w:val="285"/>
        </w:trPr>
        <w:tc>
          <w:tcPr>
            <w:cnfStyle w:val="001000000000" w:firstRow="0" w:lastRow="0" w:firstColumn="1" w:lastColumn="0" w:oddVBand="0" w:evenVBand="0" w:oddHBand="0" w:evenHBand="0" w:firstRowFirstColumn="0" w:firstRowLastColumn="0" w:lastRowFirstColumn="0" w:lastRowLastColumn="0"/>
            <w:tcW w:w="1500" w:type="dxa"/>
            <w:noWrap/>
          </w:tcPr>
          <w:p w14:paraId="70602DD3" w14:textId="77777777" w:rsidR="00932CCF" w:rsidRPr="00F64EBD" w:rsidRDefault="00F64EBD" w:rsidP="00F64EBD">
            <w:pPr>
              <w:pStyle w:val="TableCopy"/>
            </w:pPr>
            <w:r>
              <w:t>1</w:t>
            </w:r>
          </w:p>
        </w:tc>
        <w:tc>
          <w:tcPr>
            <w:tcW w:w="2660" w:type="dxa"/>
            <w:noWrap/>
            <w:hideMark/>
          </w:tcPr>
          <w:p w14:paraId="34CAFD40" w14:textId="77777777" w:rsidR="00932CCF" w:rsidRPr="00F64EBD" w:rsidRDefault="00F64EBD" w:rsidP="00F64EBD">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00932CCF" w:rsidRPr="00F64EBD">
              <w:t>4,685.00</w:t>
            </w:r>
          </w:p>
        </w:tc>
        <w:tc>
          <w:tcPr>
            <w:tcW w:w="2780" w:type="dxa"/>
            <w:noWrap/>
            <w:hideMark/>
          </w:tcPr>
          <w:p w14:paraId="6A6254FE" w14:textId="77777777" w:rsidR="00932CCF" w:rsidRPr="00F64EBD" w:rsidRDefault="00932CCF" w:rsidP="00F64EBD">
            <w:pPr>
              <w:pStyle w:val="TableCopy"/>
              <w:jc w:val="center"/>
              <w:cnfStyle w:val="000000000000" w:firstRow="0" w:lastRow="0" w:firstColumn="0" w:lastColumn="0" w:oddVBand="0" w:evenVBand="0" w:oddHBand="0" w:evenHBand="0" w:firstRowFirstColumn="0" w:firstRowLastColumn="0" w:lastRowFirstColumn="0" w:lastRowLastColumn="0"/>
            </w:pPr>
            <w:r w:rsidRPr="00F64EBD">
              <w:t>0.5%</w:t>
            </w:r>
          </w:p>
        </w:tc>
      </w:tr>
      <w:tr w:rsidR="00932CCF" w:rsidRPr="00F64EBD" w14:paraId="6C0A7AA8" w14:textId="77777777" w:rsidTr="00F64EBD">
        <w:trPr>
          <w:trHeight w:val="285"/>
        </w:trPr>
        <w:tc>
          <w:tcPr>
            <w:cnfStyle w:val="001000000000" w:firstRow="0" w:lastRow="0" w:firstColumn="1" w:lastColumn="0" w:oddVBand="0" w:evenVBand="0" w:oddHBand="0" w:evenHBand="0" w:firstRowFirstColumn="0" w:firstRowLastColumn="0" w:lastRowFirstColumn="0" w:lastRowLastColumn="0"/>
            <w:tcW w:w="1500" w:type="dxa"/>
            <w:noWrap/>
          </w:tcPr>
          <w:p w14:paraId="5905235E" w14:textId="77777777" w:rsidR="00932CCF" w:rsidRPr="00F64EBD" w:rsidRDefault="00F64EBD" w:rsidP="00F64EBD">
            <w:pPr>
              <w:pStyle w:val="TableCopy"/>
            </w:pPr>
            <w:r>
              <w:t>2</w:t>
            </w:r>
          </w:p>
        </w:tc>
        <w:tc>
          <w:tcPr>
            <w:tcW w:w="2660" w:type="dxa"/>
            <w:noWrap/>
            <w:hideMark/>
          </w:tcPr>
          <w:p w14:paraId="352AA843" w14:textId="77777777" w:rsidR="00932CCF" w:rsidRPr="00F64EBD" w:rsidRDefault="00F64EBD" w:rsidP="00F64EBD">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00932CCF" w:rsidRPr="00F64EBD">
              <w:t>204,490.42</w:t>
            </w:r>
          </w:p>
        </w:tc>
        <w:tc>
          <w:tcPr>
            <w:tcW w:w="2780" w:type="dxa"/>
            <w:noWrap/>
            <w:hideMark/>
          </w:tcPr>
          <w:p w14:paraId="4085E762" w14:textId="77777777" w:rsidR="00932CCF" w:rsidRPr="00F64EBD" w:rsidRDefault="00932CCF" w:rsidP="00F64EBD">
            <w:pPr>
              <w:pStyle w:val="TableCopy"/>
              <w:jc w:val="center"/>
              <w:cnfStyle w:val="000000000000" w:firstRow="0" w:lastRow="0" w:firstColumn="0" w:lastColumn="0" w:oddVBand="0" w:evenVBand="0" w:oddHBand="0" w:evenHBand="0" w:firstRowFirstColumn="0" w:firstRowLastColumn="0" w:lastRowFirstColumn="0" w:lastRowLastColumn="0"/>
            </w:pPr>
            <w:r w:rsidRPr="00F64EBD">
              <w:t>22.0%</w:t>
            </w:r>
          </w:p>
        </w:tc>
      </w:tr>
      <w:tr w:rsidR="00932CCF" w:rsidRPr="00F64EBD" w14:paraId="7CC31377" w14:textId="77777777" w:rsidTr="00F64EBD">
        <w:trPr>
          <w:trHeight w:val="285"/>
        </w:trPr>
        <w:tc>
          <w:tcPr>
            <w:cnfStyle w:val="001000000000" w:firstRow="0" w:lastRow="0" w:firstColumn="1" w:lastColumn="0" w:oddVBand="0" w:evenVBand="0" w:oddHBand="0" w:evenHBand="0" w:firstRowFirstColumn="0" w:firstRowLastColumn="0" w:lastRowFirstColumn="0" w:lastRowLastColumn="0"/>
            <w:tcW w:w="1500" w:type="dxa"/>
            <w:noWrap/>
          </w:tcPr>
          <w:p w14:paraId="691079FD" w14:textId="77777777" w:rsidR="00932CCF" w:rsidRPr="00F64EBD" w:rsidRDefault="00F64EBD" w:rsidP="00F64EBD">
            <w:pPr>
              <w:pStyle w:val="TableCopy"/>
            </w:pPr>
            <w:r>
              <w:t>3</w:t>
            </w:r>
          </w:p>
        </w:tc>
        <w:tc>
          <w:tcPr>
            <w:tcW w:w="2660" w:type="dxa"/>
            <w:noWrap/>
            <w:hideMark/>
          </w:tcPr>
          <w:p w14:paraId="3824BB99" w14:textId="77777777" w:rsidR="00932CCF" w:rsidRPr="00F64EBD" w:rsidRDefault="00F64EBD" w:rsidP="00F64EBD">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00932CCF" w:rsidRPr="00F64EBD">
              <w:t>253,090.47</w:t>
            </w:r>
          </w:p>
        </w:tc>
        <w:tc>
          <w:tcPr>
            <w:tcW w:w="2780" w:type="dxa"/>
            <w:noWrap/>
            <w:hideMark/>
          </w:tcPr>
          <w:p w14:paraId="743DAA81" w14:textId="77777777" w:rsidR="00932CCF" w:rsidRPr="00F64EBD" w:rsidRDefault="00932CCF" w:rsidP="00F64EBD">
            <w:pPr>
              <w:pStyle w:val="TableCopy"/>
              <w:jc w:val="center"/>
              <w:cnfStyle w:val="000000000000" w:firstRow="0" w:lastRow="0" w:firstColumn="0" w:lastColumn="0" w:oddVBand="0" w:evenVBand="0" w:oddHBand="0" w:evenHBand="0" w:firstRowFirstColumn="0" w:firstRowLastColumn="0" w:lastRowFirstColumn="0" w:lastRowLastColumn="0"/>
            </w:pPr>
            <w:r w:rsidRPr="00F64EBD">
              <w:t>27.2%</w:t>
            </w:r>
          </w:p>
        </w:tc>
      </w:tr>
      <w:tr w:rsidR="00932CCF" w:rsidRPr="00F64EBD" w14:paraId="2FEC52F6" w14:textId="77777777" w:rsidTr="00F64EBD">
        <w:trPr>
          <w:trHeight w:val="285"/>
        </w:trPr>
        <w:tc>
          <w:tcPr>
            <w:cnfStyle w:val="001000000000" w:firstRow="0" w:lastRow="0" w:firstColumn="1" w:lastColumn="0" w:oddVBand="0" w:evenVBand="0" w:oddHBand="0" w:evenHBand="0" w:firstRowFirstColumn="0" w:firstRowLastColumn="0" w:lastRowFirstColumn="0" w:lastRowLastColumn="0"/>
            <w:tcW w:w="1500" w:type="dxa"/>
            <w:noWrap/>
          </w:tcPr>
          <w:p w14:paraId="62CEBF21" w14:textId="77777777" w:rsidR="00932CCF" w:rsidRPr="00F64EBD" w:rsidRDefault="00F64EBD" w:rsidP="00F64EBD">
            <w:pPr>
              <w:pStyle w:val="TableCopy"/>
            </w:pPr>
            <w:r>
              <w:t>4</w:t>
            </w:r>
          </w:p>
        </w:tc>
        <w:tc>
          <w:tcPr>
            <w:tcW w:w="2660" w:type="dxa"/>
            <w:noWrap/>
            <w:hideMark/>
          </w:tcPr>
          <w:p w14:paraId="30873B6B" w14:textId="77777777" w:rsidR="00932CCF" w:rsidRPr="00F64EBD" w:rsidRDefault="00F64EBD" w:rsidP="00F64EBD">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00932CCF" w:rsidRPr="00F64EBD">
              <w:t>119,699.04</w:t>
            </w:r>
          </w:p>
        </w:tc>
        <w:tc>
          <w:tcPr>
            <w:tcW w:w="2780" w:type="dxa"/>
            <w:noWrap/>
            <w:hideMark/>
          </w:tcPr>
          <w:p w14:paraId="4EFF36F6" w14:textId="77777777" w:rsidR="00932CCF" w:rsidRPr="00F64EBD" w:rsidRDefault="00932CCF" w:rsidP="00F64EBD">
            <w:pPr>
              <w:pStyle w:val="TableCopy"/>
              <w:jc w:val="center"/>
              <w:cnfStyle w:val="000000000000" w:firstRow="0" w:lastRow="0" w:firstColumn="0" w:lastColumn="0" w:oddVBand="0" w:evenVBand="0" w:oddHBand="0" w:evenHBand="0" w:firstRowFirstColumn="0" w:firstRowLastColumn="0" w:lastRowFirstColumn="0" w:lastRowLastColumn="0"/>
            </w:pPr>
            <w:r w:rsidRPr="00F64EBD">
              <w:t>12.9%</w:t>
            </w:r>
          </w:p>
        </w:tc>
      </w:tr>
      <w:tr w:rsidR="00932CCF" w:rsidRPr="00F64EBD" w14:paraId="48D4F4E6" w14:textId="77777777" w:rsidTr="00F64EBD">
        <w:trPr>
          <w:trHeight w:val="285"/>
        </w:trPr>
        <w:tc>
          <w:tcPr>
            <w:cnfStyle w:val="001000000000" w:firstRow="0" w:lastRow="0" w:firstColumn="1" w:lastColumn="0" w:oddVBand="0" w:evenVBand="0" w:oddHBand="0" w:evenHBand="0" w:firstRowFirstColumn="0" w:firstRowLastColumn="0" w:lastRowFirstColumn="0" w:lastRowLastColumn="0"/>
            <w:tcW w:w="1500" w:type="dxa"/>
            <w:noWrap/>
          </w:tcPr>
          <w:p w14:paraId="183767CF" w14:textId="77777777" w:rsidR="00932CCF" w:rsidRPr="00F64EBD" w:rsidRDefault="00F64EBD" w:rsidP="00F64EBD">
            <w:pPr>
              <w:pStyle w:val="TableCopy"/>
            </w:pPr>
            <w:r>
              <w:t>5</w:t>
            </w:r>
          </w:p>
        </w:tc>
        <w:tc>
          <w:tcPr>
            <w:tcW w:w="2660" w:type="dxa"/>
            <w:noWrap/>
            <w:hideMark/>
          </w:tcPr>
          <w:p w14:paraId="20962BC5" w14:textId="77777777" w:rsidR="00932CCF" w:rsidRPr="00F64EBD" w:rsidRDefault="00F64EBD" w:rsidP="00F64EBD">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00932CCF" w:rsidRPr="00F64EBD">
              <w:t>145,870.99</w:t>
            </w:r>
          </w:p>
        </w:tc>
        <w:tc>
          <w:tcPr>
            <w:tcW w:w="2780" w:type="dxa"/>
            <w:noWrap/>
            <w:hideMark/>
          </w:tcPr>
          <w:p w14:paraId="3C19E78E" w14:textId="77777777" w:rsidR="00932CCF" w:rsidRPr="00F64EBD" w:rsidRDefault="00932CCF" w:rsidP="00F64EBD">
            <w:pPr>
              <w:pStyle w:val="TableCopy"/>
              <w:jc w:val="center"/>
              <w:cnfStyle w:val="000000000000" w:firstRow="0" w:lastRow="0" w:firstColumn="0" w:lastColumn="0" w:oddVBand="0" w:evenVBand="0" w:oddHBand="0" w:evenHBand="0" w:firstRowFirstColumn="0" w:firstRowLastColumn="0" w:lastRowFirstColumn="0" w:lastRowLastColumn="0"/>
            </w:pPr>
            <w:r w:rsidRPr="00F64EBD">
              <w:t>15.7%</w:t>
            </w:r>
          </w:p>
        </w:tc>
      </w:tr>
      <w:tr w:rsidR="00932CCF" w:rsidRPr="00F64EBD" w14:paraId="291B24F9" w14:textId="77777777" w:rsidTr="00F64EBD">
        <w:trPr>
          <w:trHeight w:val="285"/>
        </w:trPr>
        <w:tc>
          <w:tcPr>
            <w:cnfStyle w:val="001000000000" w:firstRow="0" w:lastRow="0" w:firstColumn="1" w:lastColumn="0" w:oddVBand="0" w:evenVBand="0" w:oddHBand="0" w:evenHBand="0" w:firstRowFirstColumn="0" w:firstRowLastColumn="0" w:lastRowFirstColumn="0" w:lastRowLastColumn="0"/>
            <w:tcW w:w="1500" w:type="dxa"/>
            <w:noWrap/>
          </w:tcPr>
          <w:p w14:paraId="2CC3EBE1" w14:textId="77777777" w:rsidR="00932CCF" w:rsidRPr="00F64EBD" w:rsidRDefault="00F64EBD" w:rsidP="00F64EBD">
            <w:pPr>
              <w:pStyle w:val="TableCopy"/>
            </w:pPr>
            <w:r>
              <w:t>6</w:t>
            </w:r>
          </w:p>
        </w:tc>
        <w:tc>
          <w:tcPr>
            <w:tcW w:w="2660" w:type="dxa"/>
            <w:noWrap/>
            <w:hideMark/>
          </w:tcPr>
          <w:p w14:paraId="733CE5C9" w14:textId="77777777" w:rsidR="00932CCF" w:rsidRPr="00F64EBD" w:rsidRDefault="00F64EBD" w:rsidP="00F64EBD">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00932CCF" w:rsidRPr="00F64EBD">
              <w:t>164,708.13</w:t>
            </w:r>
          </w:p>
        </w:tc>
        <w:tc>
          <w:tcPr>
            <w:tcW w:w="2780" w:type="dxa"/>
            <w:noWrap/>
            <w:hideMark/>
          </w:tcPr>
          <w:p w14:paraId="02484211" w14:textId="77777777" w:rsidR="00932CCF" w:rsidRPr="00F64EBD" w:rsidRDefault="00932CCF" w:rsidP="00F64EBD">
            <w:pPr>
              <w:pStyle w:val="TableCopy"/>
              <w:jc w:val="center"/>
              <w:cnfStyle w:val="000000000000" w:firstRow="0" w:lastRow="0" w:firstColumn="0" w:lastColumn="0" w:oddVBand="0" w:evenVBand="0" w:oddHBand="0" w:evenHBand="0" w:firstRowFirstColumn="0" w:firstRowLastColumn="0" w:lastRowFirstColumn="0" w:lastRowLastColumn="0"/>
            </w:pPr>
            <w:r w:rsidRPr="00F64EBD">
              <w:t>17.7%</w:t>
            </w:r>
          </w:p>
        </w:tc>
      </w:tr>
      <w:tr w:rsidR="00F64EBD" w:rsidRPr="00F64EBD" w14:paraId="6D295BA0" w14:textId="77777777" w:rsidTr="00E25D4B">
        <w:trPr>
          <w:trHeight w:val="285"/>
        </w:trPr>
        <w:tc>
          <w:tcPr>
            <w:cnfStyle w:val="001000000000" w:firstRow="0" w:lastRow="0" w:firstColumn="1" w:lastColumn="0" w:oddVBand="0" w:evenVBand="0" w:oddHBand="0" w:evenHBand="0" w:firstRowFirstColumn="0" w:firstRowLastColumn="0" w:lastRowFirstColumn="0" w:lastRowLastColumn="0"/>
            <w:tcW w:w="1500" w:type="dxa"/>
            <w:noWrap/>
            <w:hideMark/>
          </w:tcPr>
          <w:p w14:paraId="1166310A" w14:textId="77777777" w:rsidR="00F64EBD" w:rsidRPr="00F64EBD" w:rsidRDefault="00F64EBD" w:rsidP="00E25D4B">
            <w:pPr>
              <w:pStyle w:val="TableCopy"/>
            </w:pPr>
            <w:r>
              <w:t>U</w:t>
            </w:r>
            <w:r w:rsidRPr="00F64EBD">
              <w:t>nknown</w:t>
            </w:r>
          </w:p>
        </w:tc>
        <w:tc>
          <w:tcPr>
            <w:tcW w:w="2660" w:type="dxa"/>
            <w:noWrap/>
            <w:hideMark/>
          </w:tcPr>
          <w:p w14:paraId="1874092D" w14:textId="77777777" w:rsidR="00F64EBD" w:rsidRPr="00F64EBD" w:rsidRDefault="00F64EBD" w:rsidP="00E25D4B">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Pr="00F64EBD">
              <w:t>37,754.40</w:t>
            </w:r>
          </w:p>
        </w:tc>
        <w:tc>
          <w:tcPr>
            <w:tcW w:w="2780" w:type="dxa"/>
            <w:noWrap/>
            <w:hideMark/>
          </w:tcPr>
          <w:p w14:paraId="3690D432" w14:textId="77777777" w:rsidR="00F64EBD" w:rsidRPr="00F64EBD" w:rsidRDefault="00F64EBD" w:rsidP="00E25D4B">
            <w:pPr>
              <w:pStyle w:val="TableCopy"/>
              <w:jc w:val="center"/>
              <w:cnfStyle w:val="000000000000" w:firstRow="0" w:lastRow="0" w:firstColumn="0" w:lastColumn="0" w:oddVBand="0" w:evenVBand="0" w:oddHBand="0" w:evenHBand="0" w:firstRowFirstColumn="0" w:firstRowLastColumn="0" w:lastRowFirstColumn="0" w:lastRowLastColumn="0"/>
            </w:pPr>
            <w:r w:rsidRPr="00F64EBD">
              <w:t>4.1%</w:t>
            </w:r>
          </w:p>
        </w:tc>
      </w:tr>
      <w:tr w:rsidR="00932CCF" w:rsidRPr="00F64EBD" w14:paraId="48DF078F" w14:textId="77777777" w:rsidTr="00F64EBD">
        <w:trPr>
          <w:cnfStyle w:val="010000000000" w:firstRow="0" w:lastRow="1"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00" w:type="dxa"/>
            <w:noWrap/>
            <w:hideMark/>
          </w:tcPr>
          <w:p w14:paraId="66AD04AE" w14:textId="77777777" w:rsidR="00932CCF" w:rsidRPr="00F64EBD" w:rsidRDefault="00932CCF" w:rsidP="00F64EBD">
            <w:pPr>
              <w:pStyle w:val="TableCopy"/>
            </w:pPr>
            <w:r w:rsidRPr="00F64EBD">
              <w:t>Grand Total</w:t>
            </w:r>
          </w:p>
        </w:tc>
        <w:tc>
          <w:tcPr>
            <w:tcW w:w="2660" w:type="dxa"/>
            <w:noWrap/>
            <w:hideMark/>
          </w:tcPr>
          <w:p w14:paraId="16997549" w14:textId="77777777" w:rsidR="00932CCF" w:rsidRPr="00F64EBD" w:rsidRDefault="00F64EBD" w:rsidP="00F64EBD">
            <w:pPr>
              <w:pStyle w:val="TableCopy"/>
              <w:jc w:val="center"/>
              <w:cnfStyle w:val="010000000000" w:firstRow="0" w:lastRow="1" w:firstColumn="0" w:lastColumn="0" w:oddVBand="0" w:evenVBand="0" w:oddHBand="0" w:evenHBand="0" w:firstRowFirstColumn="0" w:firstRowLastColumn="0" w:lastRowFirstColumn="0" w:lastRowLastColumn="0"/>
            </w:pPr>
            <w:r>
              <w:rPr>
                <w:rFonts w:ascii="Times New Roman" w:hAnsi="Times New Roman"/>
              </w:rPr>
              <w:t>$</w:t>
            </w:r>
            <w:r w:rsidR="00932CCF" w:rsidRPr="00F64EBD">
              <w:t>930,298.45</w:t>
            </w:r>
          </w:p>
        </w:tc>
        <w:tc>
          <w:tcPr>
            <w:tcW w:w="2780" w:type="dxa"/>
            <w:noWrap/>
            <w:hideMark/>
          </w:tcPr>
          <w:p w14:paraId="18351E7B" w14:textId="77777777" w:rsidR="00932CCF" w:rsidRPr="00F64EBD" w:rsidRDefault="00932CCF" w:rsidP="00F64EBD">
            <w:pPr>
              <w:pStyle w:val="TableCopy"/>
              <w:jc w:val="center"/>
              <w:cnfStyle w:val="010000000000" w:firstRow="0" w:lastRow="1" w:firstColumn="0" w:lastColumn="0" w:oddVBand="0" w:evenVBand="0" w:oddHBand="0" w:evenHBand="0" w:firstRowFirstColumn="0" w:firstRowLastColumn="0" w:lastRowFirstColumn="0" w:lastRowLastColumn="0"/>
            </w:pPr>
            <w:r w:rsidRPr="00F64EBD">
              <w:t>100.0%</w:t>
            </w:r>
          </w:p>
        </w:tc>
      </w:tr>
    </w:tbl>
    <w:p w14:paraId="2F31DF9A" w14:textId="77777777" w:rsidR="00932CCF" w:rsidRDefault="00F64EBD" w:rsidP="00F64EBD">
      <w:pPr>
        <w:pStyle w:val="TableNotes"/>
      </w:pPr>
      <w:r>
        <w:t xml:space="preserve">*Calendar years 2013 to 2015 were used for </w:t>
      </w:r>
      <w:proofErr w:type="spellStart"/>
      <w:r>
        <w:t>PhARIA</w:t>
      </w:r>
      <w:proofErr w:type="spellEnd"/>
      <w:r>
        <w:t xml:space="preserve"> analysis to limit changes in </w:t>
      </w:r>
      <w:proofErr w:type="spellStart"/>
      <w:r>
        <w:t>PhARIA</w:t>
      </w:r>
      <w:proofErr w:type="spellEnd"/>
      <w:r>
        <w:t xml:space="preserve"> classification of regions.</w:t>
      </w:r>
    </w:p>
    <w:p w14:paraId="275BEAF1" w14:textId="5B60DB77" w:rsidR="00932CCF" w:rsidRDefault="00F64EBD" w:rsidP="00F64EBD">
      <w:pPr>
        <w:pStyle w:val="TableNotes"/>
      </w:pPr>
      <w:r>
        <w:t xml:space="preserve">*Some </w:t>
      </w:r>
      <w:proofErr w:type="spellStart"/>
      <w:r>
        <w:t>PhARIA</w:t>
      </w:r>
      <w:proofErr w:type="spellEnd"/>
      <w:r>
        <w:t xml:space="preserve"> 1 regions had an exemption for the </w:t>
      </w:r>
      <w:r w:rsidR="00C774D6">
        <w:t xml:space="preserve">CPE </w:t>
      </w:r>
      <w:r>
        <w:t xml:space="preserve">Allowance, e.g. Geraldton in WA. </w:t>
      </w:r>
    </w:p>
    <w:p w14:paraId="0C50EAC8" w14:textId="160BCF56" w:rsidR="00ED00D6" w:rsidRDefault="00ED00D6" w:rsidP="00186EBF">
      <w:pPr>
        <w:pStyle w:val="BodyCopy"/>
      </w:pPr>
      <w:r>
        <w:t xml:space="preserve">Examining the CPE allowance funds distributed over the calendar year shows that funds are mostly allocated in quarters one and two. The reason for the seasonal </w:t>
      </w:r>
      <w:r>
        <w:t>distribution was not explored during consultations, but may reflect availability of CP</w:t>
      </w:r>
      <w:r w:rsidR="00F25007">
        <w:t>E</w:t>
      </w:r>
      <w:r>
        <w:t xml:space="preserve"> activities, or limited availability of funding in later quarters. </w:t>
      </w:r>
    </w:p>
    <w:p w14:paraId="174BBC39" w14:textId="3B6A5C4E" w:rsidR="00D146E9" w:rsidRDefault="00D146E9" w:rsidP="005E4DBD">
      <w:pPr>
        <w:pStyle w:val="BodyCopy"/>
      </w:pPr>
      <w:r>
        <w:t>Educator use of the CPE Allowance funds from 2012 to 2015 accounted for only 3% of funding distributed</w:t>
      </w:r>
      <w:r w:rsidR="000B2F9E">
        <w:t>, or 6.8% of claim volume</w:t>
      </w:r>
      <w:r>
        <w:t xml:space="preserve">. During this time, educators accessing the funding allowance almost halved </w:t>
      </w:r>
      <w:r>
        <w:softHyphen/>
      </w:r>
      <w:r w:rsidR="00C774D6">
        <w:t xml:space="preserve">– </w:t>
      </w:r>
      <w:r>
        <w:t xml:space="preserve">39 educators accessed the allowance in 2012 compared with 20 educators in 2015. </w:t>
      </w:r>
    </w:p>
    <w:p w14:paraId="4F8087B6" w14:textId="1682B31D" w:rsidR="007228DF" w:rsidRPr="0088535F" w:rsidRDefault="005D60CE" w:rsidP="0088535F">
      <w:pPr>
        <w:pStyle w:val="Effectiveness"/>
      </w:pPr>
      <w:r>
        <w:t>Based on the usage data of the CPE Allowance from 201</w:t>
      </w:r>
      <w:r w:rsidR="005E4DBD">
        <w:t>2</w:t>
      </w:r>
      <w:r>
        <w:t xml:space="preserve"> to 2015, it is concluded that the </w:t>
      </w:r>
      <w:r w:rsidRPr="0088535F">
        <w:t xml:space="preserve">program meets it </w:t>
      </w:r>
      <w:r w:rsidR="00667940">
        <w:t>aim</w:t>
      </w:r>
      <w:r w:rsidR="00667940" w:rsidRPr="0088535F">
        <w:t xml:space="preserve"> </w:t>
      </w:r>
      <w:r w:rsidRPr="0088535F">
        <w:t>of reducing additional costs incurred by pharmacists practising in rural and remote communities to undertake CP</w:t>
      </w:r>
      <w:r w:rsidR="00F25007" w:rsidRPr="0088535F">
        <w:t>E</w:t>
      </w:r>
      <w:r w:rsidRPr="0088535F">
        <w:t xml:space="preserve"> activities. However, the distribution of the allowance funds may not be equitable across the jurisdictions</w:t>
      </w:r>
      <w:r w:rsidR="00D146E9" w:rsidRPr="0088535F">
        <w:t xml:space="preserve"> or need </w:t>
      </w:r>
      <w:r w:rsidRPr="0088535F">
        <w:t xml:space="preserve">based on remoteness (using the </w:t>
      </w:r>
      <w:proofErr w:type="spellStart"/>
      <w:r w:rsidRPr="0088535F">
        <w:t>PhARIA</w:t>
      </w:r>
      <w:proofErr w:type="spellEnd"/>
      <w:r w:rsidRPr="0088535F">
        <w:t xml:space="preserve"> scale). </w:t>
      </w:r>
    </w:p>
    <w:p w14:paraId="10E32304" w14:textId="3B65A2EA" w:rsidR="00CA044E" w:rsidRDefault="00D146E9" w:rsidP="0088535F">
      <w:pPr>
        <w:pStyle w:val="Effectiveness"/>
      </w:pPr>
      <w:r w:rsidRPr="0088535F">
        <w:t xml:space="preserve">Conversely, the CPE Allowance has not led to an increase in delivery of </w:t>
      </w:r>
      <w:r w:rsidR="00C774D6" w:rsidRPr="0088535F">
        <w:t>face-to-</w:t>
      </w:r>
      <w:r w:rsidRPr="0088535F">
        <w:t>face CP</w:t>
      </w:r>
      <w:r w:rsidR="00F25007" w:rsidRPr="0088535F">
        <w:t>E</w:t>
      </w:r>
      <w:r w:rsidRPr="0088535F">
        <w:t xml:space="preserve"> activities in rural and</w:t>
      </w:r>
      <w:r>
        <w:t xml:space="preserve"> remote areas, assessed by the educator use of CPE Allowance funds. </w:t>
      </w:r>
    </w:p>
    <w:p w14:paraId="74C31862" w14:textId="77777777" w:rsidR="00436590" w:rsidRDefault="00436590" w:rsidP="00E76ECE">
      <w:pPr>
        <w:pStyle w:val="Heading4"/>
      </w:pPr>
      <w:r w:rsidRPr="0082020E">
        <w:t>Efficiency</w:t>
      </w:r>
    </w:p>
    <w:p w14:paraId="7B8B4FD3" w14:textId="1B73BE64" w:rsidR="00E76ECE" w:rsidRDefault="00E76ECE" w:rsidP="00E76ECE">
      <w:pPr>
        <w:pStyle w:val="BodyCopy"/>
      </w:pPr>
      <w:r>
        <w:t xml:space="preserve">The average annual cost of </w:t>
      </w:r>
      <w:r w:rsidRPr="00740F32">
        <w:t xml:space="preserve">the CPE Allowance program (allowance plus administration costs) was estimated at </w:t>
      </w:r>
      <w:r w:rsidRPr="00740F32">
        <w:rPr>
          <w:rFonts w:ascii="Times New Roman" w:hAnsi="Times New Roman"/>
        </w:rPr>
        <w:t>$</w:t>
      </w:r>
      <w:r w:rsidRPr="00740F32">
        <w:t>787,749 (based on the two financial years for which data was available</w:t>
      </w:r>
      <w:r w:rsidRPr="00740F32">
        <w:rPr>
          <w:rFonts w:ascii="Times New Roman" w:hAnsi="Times New Roman"/>
        </w:rPr>
        <w:t xml:space="preserve"> $</w:t>
      </w:r>
      <w:r w:rsidRPr="00740F32">
        <w:t>772,534 in 2013</w:t>
      </w:r>
      <w:r w:rsidR="00C774D6">
        <w:t>–</w:t>
      </w:r>
      <w:r w:rsidRPr="00740F32">
        <w:t xml:space="preserve">14 and </w:t>
      </w:r>
      <w:r w:rsidRPr="00740F32">
        <w:rPr>
          <w:rFonts w:ascii="Times New Roman" w:hAnsi="Times New Roman"/>
        </w:rPr>
        <w:t>$</w:t>
      </w:r>
      <w:r w:rsidRPr="00740F32">
        <w:t>803,054 in 2014</w:t>
      </w:r>
      <w:r w:rsidR="00C774D6">
        <w:t>–</w:t>
      </w:r>
      <w:r w:rsidRPr="00740F32">
        <w:t xml:space="preserve">15). This equates to an average unit cost of </w:t>
      </w:r>
      <w:r w:rsidRPr="00740F32">
        <w:rPr>
          <w:rFonts w:ascii="Times New Roman" w:hAnsi="Times New Roman"/>
        </w:rPr>
        <w:t>$</w:t>
      </w:r>
      <w:r w:rsidR="00B00A04" w:rsidRPr="00740F32">
        <w:t>1,931</w:t>
      </w:r>
      <w:r w:rsidRPr="00740F32">
        <w:t xml:space="preserve"> per</w:t>
      </w:r>
      <w:r>
        <w:t xml:space="preserve"> claim.</w:t>
      </w:r>
    </w:p>
    <w:p w14:paraId="2A8244F8" w14:textId="7F1A5AA4" w:rsidR="00E76ECE" w:rsidRDefault="00E76ECE" w:rsidP="00E76ECE">
      <w:pPr>
        <w:pStyle w:val="BodyCopy"/>
      </w:pPr>
      <w:r>
        <w:t xml:space="preserve">Although each allowance is capped at </w:t>
      </w:r>
      <w:r>
        <w:rPr>
          <w:rFonts w:ascii="Times New Roman" w:hAnsi="Times New Roman"/>
        </w:rPr>
        <w:t>$</w:t>
      </w:r>
      <w:r>
        <w:t>2,000</w:t>
      </w:r>
      <w:r w:rsidR="00C774D6">
        <w:t>,</w:t>
      </w:r>
      <w:r>
        <w:t xml:space="preserve"> the average allowance amount was </w:t>
      </w:r>
      <w:r>
        <w:rPr>
          <w:rFonts w:ascii="Times New Roman" w:hAnsi="Times New Roman"/>
        </w:rPr>
        <w:t>$</w:t>
      </w:r>
      <w:r>
        <w:t>842.50 over the two years (2013</w:t>
      </w:r>
      <w:r w:rsidR="00C774D6">
        <w:t>–</w:t>
      </w:r>
      <w:r>
        <w:t>14 and 2014</w:t>
      </w:r>
      <w:r w:rsidR="00C774D6">
        <w:t>–</w:t>
      </w:r>
      <w:r>
        <w:t>15). In addition, there is considerable administrative effort required to proce</w:t>
      </w:r>
      <w:r w:rsidR="00B00A04">
        <w:t>ss each claim, estimated at 56</w:t>
      </w:r>
      <w:r>
        <w:t xml:space="preserve">% of the unit cost. </w:t>
      </w:r>
    </w:p>
    <w:p w14:paraId="629CA68C" w14:textId="77777777" w:rsidR="00A92F41" w:rsidRPr="00B2593B" w:rsidRDefault="00A92F41" w:rsidP="00F25007">
      <w:pPr>
        <w:pStyle w:val="Efficiency"/>
        <w:keepNext/>
        <w:keepLines/>
      </w:pPr>
      <w:r>
        <w:lastRenderedPageBreak/>
        <w:t xml:space="preserve">A single unit cost per CPE Allowance recipient was estimated at </w:t>
      </w:r>
      <w:r>
        <w:rPr>
          <w:rFonts w:ascii="Times New Roman" w:hAnsi="Times New Roman"/>
        </w:rPr>
        <w:t>$</w:t>
      </w:r>
      <w:r w:rsidR="00B00A04">
        <w:t>1,931 comprising 56</w:t>
      </w:r>
      <w:r>
        <w:t>% administration overhead costs. This was considered outside the acceptable range for administration overheads. However, further investigation is required to assess actual time spent administering the program.</w:t>
      </w:r>
    </w:p>
    <w:p w14:paraId="2EAE3B80" w14:textId="77777777" w:rsidR="00E76ECE" w:rsidRPr="00E76ECE" w:rsidRDefault="00E76ECE" w:rsidP="00E76ECE">
      <w:pPr>
        <w:pStyle w:val="Heading4"/>
      </w:pPr>
      <w:r>
        <w:t>Options for improving program operation</w:t>
      </w:r>
    </w:p>
    <w:p w14:paraId="6D2D73E4" w14:textId="6772F32C" w:rsidR="00CA044E" w:rsidRDefault="00CA044E" w:rsidP="00CA044E">
      <w:pPr>
        <w:pStyle w:val="BodyCopy"/>
      </w:pPr>
      <w:r>
        <w:t>Consultation and survey responses confirmed the literature evidence and views of peak bodies regarding the importance of the CPE Allowance to assist access to CP</w:t>
      </w:r>
      <w:r w:rsidR="00F25007">
        <w:t>E</w:t>
      </w:r>
      <w:r>
        <w:t xml:space="preserve"> activities. However, several limitations of the program were noted, as follows:</w:t>
      </w:r>
    </w:p>
    <w:p w14:paraId="03C3DC3B" w14:textId="77777777" w:rsidR="00CA044E" w:rsidRDefault="00CA044E" w:rsidP="00CA044E">
      <w:pPr>
        <w:pStyle w:val="Bullets1"/>
      </w:pPr>
      <w:r>
        <w:t>the cap on the allowance (</w:t>
      </w:r>
      <w:r>
        <w:rPr>
          <w:rFonts w:ascii="Times New Roman" w:hAnsi="Times New Roman"/>
        </w:rPr>
        <w:t>$</w:t>
      </w:r>
      <w:r>
        <w:t>2,000 per application) is insufficient for pharmacists living in remote locations</w:t>
      </w:r>
    </w:p>
    <w:p w14:paraId="0BE47437" w14:textId="77777777" w:rsidR="00CA044E" w:rsidRDefault="00CA044E" w:rsidP="00CA044E">
      <w:pPr>
        <w:pStyle w:val="Bullets1"/>
      </w:pPr>
      <w:r>
        <w:t xml:space="preserve">the </w:t>
      </w:r>
      <w:proofErr w:type="spellStart"/>
      <w:r>
        <w:t>PhARIA</w:t>
      </w:r>
      <w:proofErr w:type="spellEnd"/>
      <w:r>
        <w:t xml:space="preserve"> eligibility is restrictive for regional locations that incur significant travel costs but are </w:t>
      </w:r>
      <w:r w:rsidR="004319EF">
        <w:t xml:space="preserve">in </w:t>
      </w:r>
      <w:r>
        <w:t xml:space="preserve">a </w:t>
      </w:r>
      <w:proofErr w:type="spellStart"/>
      <w:r>
        <w:t>PhARIA</w:t>
      </w:r>
      <w:proofErr w:type="spellEnd"/>
      <w:r>
        <w:t xml:space="preserve"> 1 location (e.g. Tamworth)</w:t>
      </w:r>
    </w:p>
    <w:p w14:paraId="564B1EF9" w14:textId="31144F4C" w:rsidR="00CA044E" w:rsidRDefault="00CA044E" w:rsidP="00CA044E">
      <w:pPr>
        <w:pStyle w:val="Bullets1"/>
      </w:pPr>
      <w:r>
        <w:t xml:space="preserve">the length, complexity and timing of the application process was a barrier to use (e.g. having to provide a statutory declaration with a birth certificate each application) </w:t>
      </w:r>
    </w:p>
    <w:p w14:paraId="1AF00AC1" w14:textId="789739B2" w:rsidR="00CA044E" w:rsidRDefault="001269C6" w:rsidP="00CA044E">
      <w:pPr>
        <w:pStyle w:val="Bullets1"/>
      </w:pPr>
      <w:r>
        <w:t xml:space="preserve">there is </w:t>
      </w:r>
      <w:r w:rsidR="00CA044E">
        <w:t>inequity in distribution with some pharmacists receiving funding only once per year and others several times</w:t>
      </w:r>
    </w:p>
    <w:p w14:paraId="05D94EDB" w14:textId="016AC55C" w:rsidR="00CA044E" w:rsidRDefault="00CA044E" w:rsidP="00CA044E">
      <w:pPr>
        <w:pStyle w:val="Bullets1"/>
      </w:pPr>
      <w:r>
        <w:t>other factors influenced pharmacist ability to attend CP</w:t>
      </w:r>
      <w:r w:rsidR="00F25007">
        <w:t>E</w:t>
      </w:r>
      <w:r>
        <w:t xml:space="preserve"> activities (e.g. availability of locum support) but are not addressed by the allowance.  </w:t>
      </w:r>
    </w:p>
    <w:p w14:paraId="7CB2D8A2" w14:textId="187EA12C" w:rsidR="00DE0899" w:rsidRDefault="00587902" w:rsidP="00587902">
      <w:pPr>
        <w:pStyle w:val="BodyCopy"/>
      </w:pPr>
      <w:r>
        <w:t>There were mixed views from stakeholders regarding the use of online education for CP</w:t>
      </w:r>
      <w:r w:rsidR="00F25007">
        <w:t>E</w:t>
      </w:r>
      <w:r>
        <w:t>. Although online training removes the need for tr</w:t>
      </w:r>
      <w:r w:rsidR="00F25007">
        <w:t>avel and associated costs for CPE</w:t>
      </w:r>
      <w:r>
        <w:t xml:space="preserve">, the survey responses indicated that 59% of pharmacists found </w:t>
      </w:r>
      <w:r w:rsidR="001269C6">
        <w:t>face-to-</w:t>
      </w:r>
      <w:r>
        <w:t xml:space="preserve">face training more valuable than online training. In addition, </w:t>
      </w:r>
      <w:r w:rsidR="001269C6">
        <w:t>face-to-</w:t>
      </w:r>
      <w:r>
        <w:t xml:space="preserve">face training was seen to provide professional networking opportunities that were not available via online training programs. </w:t>
      </w:r>
      <w:r w:rsidR="00B24A35">
        <w:t xml:space="preserve">Therefore, there is still a need to support pharmacists to attend </w:t>
      </w:r>
      <w:r w:rsidR="001269C6">
        <w:t>face-to-</w:t>
      </w:r>
      <w:r w:rsidR="00B24A35">
        <w:t xml:space="preserve">face training events. </w:t>
      </w:r>
    </w:p>
    <w:p w14:paraId="742DBE14" w14:textId="46E117FE" w:rsidR="00CA679A" w:rsidRDefault="00B24A35" w:rsidP="00587902">
      <w:pPr>
        <w:pStyle w:val="BodyCopy"/>
      </w:pPr>
      <w:r>
        <w:t xml:space="preserve">The </w:t>
      </w:r>
      <w:proofErr w:type="spellStart"/>
      <w:r>
        <w:t>PhARIA</w:t>
      </w:r>
      <w:proofErr w:type="spellEnd"/>
      <w:r>
        <w:t xml:space="preserve"> classification of remoteness was not considered an equitable measure for the CPE Allowance. </w:t>
      </w:r>
      <w:r w:rsidR="00CA679A">
        <w:t xml:space="preserve">Pharmacists argued that the </w:t>
      </w:r>
      <w:r>
        <w:t xml:space="preserve">number of pharmacies in the area </w:t>
      </w:r>
      <w:r w:rsidR="00CA679A">
        <w:t>did not impact on the need for CP</w:t>
      </w:r>
      <w:r w:rsidR="00F25007">
        <w:t>E</w:t>
      </w:r>
      <w:r w:rsidR="00CA679A">
        <w:t xml:space="preserve">, nor the costs of associated travel. Instead, </w:t>
      </w:r>
      <w:r w:rsidR="00CA679A">
        <w:t xml:space="preserve">the Monash Model of Remoteness was the preferred scale to be used for remoteness classification, consistent with other Departmental programs. </w:t>
      </w:r>
    </w:p>
    <w:p w14:paraId="19E1EF97" w14:textId="3153532E" w:rsidR="00B24A35" w:rsidRDefault="003C790A" w:rsidP="00587902">
      <w:pPr>
        <w:pStyle w:val="BodyCopy"/>
      </w:pPr>
      <w:r>
        <w:t xml:space="preserve">Prior to 2012, the CPE Allowance eligibility criteria was based on location, not pharmacy access (as in </w:t>
      </w:r>
      <w:proofErr w:type="spellStart"/>
      <w:r>
        <w:t>PhARIA</w:t>
      </w:r>
      <w:proofErr w:type="spellEnd"/>
      <w:r>
        <w:t xml:space="preserve">). </w:t>
      </w:r>
      <w:r w:rsidR="00CA679A">
        <w:t xml:space="preserve">As evaluators, HMA can see the merit in </w:t>
      </w:r>
      <w:r>
        <w:t>returning to</w:t>
      </w:r>
      <w:r w:rsidR="00CA679A">
        <w:t xml:space="preserve"> a less restrictive remoteness scale such as the Monash Model. </w:t>
      </w:r>
      <w:r>
        <w:t>However, t</w:t>
      </w:r>
      <w:r w:rsidR="00CA679A">
        <w:t xml:space="preserve">he total volume of funds disbursed in 2011 was just over </w:t>
      </w:r>
      <w:r w:rsidR="00CA679A">
        <w:rPr>
          <w:rFonts w:ascii="Times New Roman" w:hAnsi="Times New Roman"/>
        </w:rPr>
        <w:t>$</w:t>
      </w:r>
      <w:r w:rsidR="00CA679A">
        <w:t>1m. The</w:t>
      </w:r>
      <w:r w:rsidR="00421E17">
        <w:t xml:space="preserve"> impact of removing the </w:t>
      </w:r>
      <w:proofErr w:type="spellStart"/>
      <w:r w:rsidR="00421E17">
        <w:t>PhARIA</w:t>
      </w:r>
      <w:proofErr w:type="spellEnd"/>
      <w:r w:rsidR="00421E17">
        <w:t xml:space="preserve"> </w:t>
      </w:r>
      <w:r w:rsidR="00CA679A">
        <w:t xml:space="preserve">eligibility criteria could be expected to increase the required CPE Allowance funds by two- to three-fold. The increase in total claims made would also be expected to increase the administrative component of the program. </w:t>
      </w:r>
    </w:p>
    <w:p w14:paraId="0BB1441B" w14:textId="3D8A3FB2" w:rsidR="00587902" w:rsidRDefault="00B24A35" w:rsidP="00587902">
      <w:pPr>
        <w:pStyle w:val="BodyCopy"/>
      </w:pPr>
      <w:r>
        <w:t xml:space="preserve">The inequity of travel costs for pharmacists depending on location was </w:t>
      </w:r>
      <w:r w:rsidR="00CA679A">
        <w:t xml:space="preserve">also </w:t>
      </w:r>
      <w:r>
        <w:t>raised by pharmacists in multiple geographic locations. This predominantly disadvantages pharmacists in rural</w:t>
      </w:r>
      <w:r w:rsidR="00421E17">
        <w:t xml:space="preserve"> and remote </w:t>
      </w:r>
      <w:r>
        <w:t>areas, but also impacts on pharmacists in less remote areas</w:t>
      </w:r>
      <w:r w:rsidR="001269C6">
        <w:t>,</w:t>
      </w:r>
      <w:r>
        <w:t xml:space="preserve"> which are </w:t>
      </w:r>
      <w:r w:rsidR="00421E17">
        <w:t>still expensive to travel to</w:t>
      </w:r>
      <w:r>
        <w:t>. Establishing a tiered system of f</w:t>
      </w:r>
      <w:r w:rsidR="00587902">
        <w:t>unding</w:t>
      </w:r>
      <w:r w:rsidR="001269C6">
        <w:t>,</w:t>
      </w:r>
      <w:r>
        <w:t xml:space="preserve"> whereby the cap is set in correlation with remoteness or actual travel costs</w:t>
      </w:r>
      <w:r w:rsidR="001269C6">
        <w:t>,</w:t>
      </w:r>
      <w:r>
        <w:t xml:space="preserve"> was suggested by stakeholders. </w:t>
      </w:r>
    </w:p>
    <w:p w14:paraId="2A8E87E4" w14:textId="17D0A1AF" w:rsidR="00785C91" w:rsidRDefault="0014337C" w:rsidP="00587902">
      <w:pPr>
        <w:pStyle w:val="BodyCopy"/>
      </w:pPr>
      <w:r>
        <w:t xml:space="preserve">As evaluators, HMA can see the merit in using a tiered system </w:t>
      </w:r>
      <w:r w:rsidR="001269C6">
        <w:t xml:space="preserve">that </w:t>
      </w:r>
      <w:r>
        <w:t xml:space="preserve">more accurately reflects travel costs incurred. </w:t>
      </w:r>
      <w:r w:rsidR="00785C91">
        <w:t xml:space="preserve">Based on the average amounts of claims per </w:t>
      </w:r>
      <w:proofErr w:type="spellStart"/>
      <w:r w:rsidR="00785C91">
        <w:t>PhARIA</w:t>
      </w:r>
      <w:proofErr w:type="spellEnd"/>
      <w:r w:rsidR="00785C91">
        <w:t xml:space="preserve"> from 2012 to 2015, a ti</w:t>
      </w:r>
      <w:r w:rsidR="001269C6">
        <w:t>e</w:t>
      </w:r>
      <w:r w:rsidR="00785C91">
        <w:t xml:space="preserve">red ratio per </w:t>
      </w:r>
      <w:proofErr w:type="spellStart"/>
      <w:r w:rsidR="00785C91">
        <w:t>PhARIA</w:t>
      </w:r>
      <w:proofErr w:type="spellEnd"/>
      <w:r w:rsidR="00785C91">
        <w:t xml:space="preserve"> is proposed </w:t>
      </w:r>
      <w:r w:rsidR="00E6234E">
        <w:t xml:space="preserve">in </w:t>
      </w:r>
      <w:r w:rsidR="00E6234E">
        <w:fldChar w:fldCharType="begin"/>
      </w:r>
      <w:r w:rsidR="00E6234E">
        <w:instrText xml:space="preserve"> REF _Ref487107186 \h </w:instrText>
      </w:r>
      <w:r w:rsidR="00E6234E">
        <w:fldChar w:fldCharType="separate"/>
      </w:r>
      <w:r w:rsidR="00910E65">
        <w:t xml:space="preserve">Table </w:t>
      </w:r>
      <w:r w:rsidR="00910E65">
        <w:rPr>
          <w:noProof/>
        </w:rPr>
        <w:t>3</w:t>
      </w:r>
      <w:r w:rsidR="00910E65">
        <w:t>.</w:t>
      </w:r>
      <w:r w:rsidR="00910E65">
        <w:rPr>
          <w:noProof/>
        </w:rPr>
        <w:t>4</w:t>
      </w:r>
      <w:r w:rsidR="00E6234E">
        <w:fldChar w:fldCharType="end"/>
      </w:r>
      <w:r w:rsidR="00E6234E">
        <w:t xml:space="preserve">. Based on actual spend in the timeframe, this could increase the required funding by approximately </w:t>
      </w:r>
      <w:r w:rsidR="00E6234E">
        <w:rPr>
          <w:rFonts w:ascii="Times New Roman" w:hAnsi="Times New Roman"/>
        </w:rPr>
        <w:t>$</w:t>
      </w:r>
      <w:r w:rsidR="00E6234E">
        <w:t xml:space="preserve">50,000 per year. However, this doesn’t account for any increase in claims in </w:t>
      </w:r>
      <w:proofErr w:type="spellStart"/>
      <w:r w:rsidR="00E6234E">
        <w:t>PhARIA</w:t>
      </w:r>
      <w:proofErr w:type="spellEnd"/>
      <w:r w:rsidR="00E6234E">
        <w:t xml:space="preserve"> 5 and 6</w:t>
      </w:r>
      <w:r w:rsidR="009C1EE6">
        <w:t>,</w:t>
      </w:r>
      <w:r w:rsidR="00E6234E">
        <w:t xml:space="preserve"> based on increased funding availability. </w:t>
      </w:r>
    </w:p>
    <w:p w14:paraId="390005A1" w14:textId="62F6DC68" w:rsidR="00785C91" w:rsidRDefault="00E6234E" w:rsidP="00E6234E">
      <w:pPr>
        <w:pStyle w:val="Caption"/>
      </w:pPr>
      <w:bookmarkStart w:id="48" w:name="_Ref487107186"/>
      <w:r>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3</w:t>
      </w:r>
      <w:r w:rsidR="00BC6E6C">
        <w:rPr>
          <w:noProof/>
        </w:rPr>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4</w:t>
      </w:r>
      <w:r w:rsidR="00BC6E6C">
        <w:rPr>
          <w:noProof/>
        </w:rPr>
        <w:fldChar w:fldCharType="end"/>
      </w:r>
      <w:bookmarkEnd w:id="48"/>
      <w:r>
        <w:t>:</w:t>
      </w:r>
      <w:r w:rsidRPr="00E6234E">
        <w:rPr>
          <w:rStyle w:val="Captionnotbold"/>
        </w:rPr>
        <w:t xml:space="preserve"> Proposed tiered ratio for CPE Allowance caps per </w:t>
      </w:r>
      <w:proofErr w:type="spellStart"/>
      <w:r w:rsidRPr="00E6234E">
        <w:rPr>
          <w:rStyle w:val="Captionnotbold"/>
        </w:rPr>
        <w:t>PhARIA</w:t>
      </w:r>
      <w:proofErr w:type="spellEnd"/>
    </w:p>
    <w:tbl>
      <w:tblPr>
        <w:tblStyle w:val="HMATable"/>
        <w:tblW w:w="0" w:type="auto"/>
        <w:tblLook w:val="04A0" w:firstRow="1" w:lastRow="0" w:firstColumn="1" w:lastColumn="0" w:noHBand="0" w:noVBand="1"/>
        <w:tblCaption w:val="Table 3.4: Proposed tiered ratio for CPE allowance caps per PhARIA"/>
        <w:tblDescription w:val="Table 3.4: Proposed tiered ratio for CPE allowance caps per PhARIA"/>
      </w:tblPr>
      <w:tblGrid>
        <w:gridCol w:w="1376"/>
        <w:gridCol w:w="729"/>
        <w:gridCol w:w="984"/>
        <w:gridCol w:w="984"/>
        <w:gridCol w:w="984"/>
        <w:gridCol w:w="984"/>
        <w:gridCol w:w="993"/>
      </w:tblGrid>
      <w:tr w:rsidR="00785C91" w14:paraId="48614CCC" w14:textId="77777777" w:rsidTr="0074288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376" w:type="dxa"/>
          </w:tcPr>
          <w:p w14:paraId="50E4B61F" w14:textId="77777777" w:rsidR="00785C91" w:rsidRDefault="00785C91" w:rsidP="00785C91">
            <w:pPr>
              <w:pStyle w:val="TableColumnHeading"/>
            </w:pPr>
            <w:proofErr w:type="spellStart"/>
            <w:r>
              <w:t>PhARIA</w:t>
            </w:r>
            <w:proofErr w:type="spellEnd"/>
          </w:p>
        </w:tc>
        <w:tc>
          <w:tcPr>
            <w:tcW w:w="729" w:type="dxa"/>
          </w:tcPr>
          <w:p w14:paraId="712BABC9" w14:textId="77777777" w:rsidR="00785C91" w:rsidRDefault="00785C91" w:rsidP="00785C91">
            <w:pPr>
              <w:pStyle w:val="TableColumnHeading"/>
              <w:jc w:val="center"/>
              <w:cnfStyle w:val="100000000000" w:firstRow="1" w:lastRow="0" w:firstColumn="0" w:lastColumn="0" w:oddVBand="0" w:evenVBand="0" w:oddHBand="0" w:evenHBand="0" w:firstRowFirstColumn="0" w:firstRowLastColumn="0" w:lastRowFirstColumn="0" w:lastRowLastColumn="0"/>
            </w:pPr>
            <w:r>
              <w:t>1*</w:t>
            </w:r>
          </w:p>
        </w:tc>
        <w:tc>
          <w:tcPr>
            <w:tcW w:w="984" w:type="dxa"/>
          </w:tcPr>
          <w:p w14:paraId="336A26C5" w14:textId="77777777" w:rsidR="00785C91" w:rsidRDefault="00785C91" w:rsidP="00785C91">
            <w:pPr>
              <w:pStyle w:val="TableColumnHeading"/>
              <w:jc w:val="center"/>
              <w:cnfStyle w:val="100000000000" w:firstRow="1" w:lastRow="0" w:firstColumn="0" w:lastColumn="0" w:oddVBand="0" w:evenVBand="0" w:oddHBand="0" w:evenHBand="0" w:firstRowFirstColumn="0" w:firstRowLastColumn="0" w:lastRowFirstColumn="0" w:lastRowLastColumn="0"/>
            </w:pPr>
            <w:r>
              <w:t>2</w:t>
            </w:r>
          </w:p>
        </w:tc>
        <w:tc>
          <w:tcPr>
            <w:tcW w:w="984" w:type="dxa"/>
          </w:tcPr>
          <w:p w14:paraId="0A5E2B03" w14:textId="77777777" w:rsidR="00785C91" w:rsidRDefault="00785C91" w:rsidP="00785C91">
            <w:pPr>
              <w:pStyle w:val="TableColumnHeading"/>
              <w:jc w:val="center"/>
              <w:cnfStyle w:val="100000000000" w:firstRow="1" w:lastRow="0" w:firstColumn="0" w:lastColumn="0" w:oddVBand="0" w:evenVBand="0" w:oddHBand="0" w:evenHBand="0" w:firstRowFirstColumn="0" w:firstRowLastColumn="0" w:lastRowFirstColumn="0" w:lastRowLastColumn="0"/>
            </w:pPr>
            <w:r>
              <w:t>3</w:t>
            </w:r>
          </w:p>
        </w:tc>
        <w:tc>
          <w:tcPr>
            <w:tcW w:w="984" w:type="dxa"/>
          </w:tcPr>
          <w:p w14:paraId="59A4C497" w14:textId="77777777" w:rsidR="00785C91" w:rsidRDefault="00785C91" w:rsidP="00785C91">
            <w:pPr>
              <w:pStyle w:val="TableColumnHeading"/>
              <w:jc w:val="center"/>
              <w:cnfStyle w:val="100000000000" w:firstRow="1" w:lastRow="0" w:firstColumn="0" w:lastColumn="0" w:oddVBand="0" w:evenVBand="0" w:oddHBand="0" w:evenHBand="0" w:firstRowFirstColumn="0" w:firstRowLastColumn="0" w:lastRowFirstColumn="0" w:lastRowLastColumn="0"/>
            </w:pPr>
            <w:r>
              <w:t>4</w:t>
            </w:r>
          </w:p>
        </w:tc>
        <w:tc>
          <w:tcPr>
            <w:tcW w:w="984" w:type="dxa"/>
          </w:tcPr>
          <w:p w14:paraId="2116BF08" w14:textId="77777777" w:rsidR="00785C91" w:rsidRDefault="00785C91" w:rsidP="00785C91">
            <w:pPr>
              <w:pStyle w:val="TableColumnHeading"/>
              <w:jc w:val="center"/>
              <w:cnfStyle w:val="100000000000" w:firstRow="1" w:lastRow="0" w:firstColumn="0" w:lastColumn="0" w:oddVBand="0" w:evenVBand="0" w:oddHBand="0" w:evenHBand="0" w:firstRowFirstColumn="0" w:firstRowLastColumn="0" w:lastRowFirstColumn="0" w:lastRowLastColumn="0"/>
            </w:pPr>
            <w:r>
              <w:t>5</w:t>
            </w:r>
          </w:p>
        </w:tc>
        <w:tc>
          <w:tcPr>
            <w:tcW w:w="993" w:type="dxa"/>
          </w:tcPr>
          <w:p w14:paraId="00AB5826" w14:textId="77777777" w:rsidR="00785C91" w:rsidRDefault="00785C91" w:rsidP="00785C91">
            <w:pPr>
              <w:pStyle w:val="TableColumnHeading"/>
              <w:jc w:val="center"/>
              <w:cnfStyle w:val="100000000000" w:firstRow="1" w:lastRow="0" w:firstColumn="0" w:lastColumn="0" w:oddVBand="0" w:evenVBand="0" w:oddHBand="0" w:evenHBand="0" w:firstRowFirstColumn="0" w:firstRowLastColumn="0" w:lastRowFirstColumn="0" w:lastRowLastColumn="0"/>
            </w:pPr>
            <w:r>
              <w:t>6</w:t>
            </w:r>
          </w:p>
        </w:tc>
      </w:tr>
      <w:tr w:rsidR="00785C91" w14:paraId="5F948AD0" w14:textId="77777777" w:rsidTr="00742880">
        <w:tc>
          <w:tcPr>
            <w:cnfStyle w:val="001000000000" w:firstRow="0" w:lastRow="0" w:firstColumn="1" w:lastColumn="0" w:oddVBand="0" w:evenVBand="0" w:oddHBand="0" w:evenHBand="0" w:firstRowFirstColumn="0" w:firstRowLastColumn="0" w:lastRowFirstColumn="0" w:lastRowLastColumn="0"/>
            <w:tcW w:w="1376" w:type="dxa"/>
          </w:tcPr>
          <w:p w14:paraId="57CC0148" w14:textId="1E354731" w:rsidR="00785C91" w:rsidRDefault="00785C91" w:rsidP="00785C91">
            <w:pPr>
              <w:pStyle w:val="TableCopy"/>
            </w:pPr>
            <w:r>
              <w:t>Average claim 2012</w:t>
            </w:r>
            <w:r w:rsidR="009C1EE6">
              <w:t>–</w:t>
            </w:r>
            <w:r>
              <w:t>2015</w:t>
            </w:r>
          </w:p>
        </w:tc>
        <w:tc>
          <w:tcPr>
            <w:tcW w:w="729" w:type="dxa"/>
          </w:tcPr>
          <w:p w14:paraId="4859FDEC" w14:textId="77777777" w:rsidR="00785C91" w:rsidRPr="00BC732C" w:rsidRDefault="00785C91" w:rsidP="00785C91">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Pr="00BC732C">
              <w:t>797.72</w:t>
            </w:r>
          </w:p>
        </w:tc>
        <w:tc>
          <w:tcPr>
            <w:tcW w:w="984" w:type="dxa"/>
          </w:tcPr>
          <w:p w14:paraId="3F6F2D9C" w14:textId="77777777" w:rsidR="00785C91" w:rsidRPr="00BC732C" w:rsidRDefault="00785C91" w:rsidP="00785C91">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Pr="00BC732C">
              <w:t>782.74</w:t>
            </w:r>
          </w:p>
        </w:tc>
        <w:tc>
          <w:tcPr>
            <w:tcW w:w="984" w:type="dxa"/>
          </w:tcPr>
          <w:p w14:paraId="2735A293" w14:textId="77777777" w:rsidR="00785C91" w:rsidRPr="00BC732C" w:rsidRDefault="00785C91" w:rsidP="00785C91">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Pr="00BC732C">
              <w:t>702.51</w:t>
            </w:r>
          </w:p>
        </w:tc>
        <w:tc>
          <w:tcPr>
            <w:tcW w:w="984" w:type="dxa"/>
          </w:tcPr>
          <w:p w14:paraId="4FAAA044" w14:textId="77777777" w:rsidR="00785C91" w:rsidRPr="00BC732C" w:rsidRDefault="00785C91" w:rsidP="00785C91">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Pr="00BC732C">
              <w:t>752.82</w:t>
            </w:r>
          </w:p>
        </w:tc>
        <w:tc>
          <w:tcPr>
            <w:tcW w:w="984" w:type="dxa"/>
          </w:tcPr>
          <w:p w14:paraId="5FD339C0" w14:textId="77777777" w:rsidR="00785C91" w:rsidRPr="00BC732C" w:rsidRDefault="00785C91" w:rsidP="00785C91">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Pr="00BC732C">
              <w:t>887.38</w:t>
            </w:r>
          </w:p>
        </w:tc>
        <w:tc>
          <w:tcPr>
            <w:tcW w:w="993" w:type="dxa"/>
          </w:tcPr>
          <w:p w14:paraId="455B6DEA" w14:textId="77777777" w:rsidR="00785C91" w:rsidRPr="00BC732C" w:rsidRDefault="00785C91" w:rsidP="00785C91">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Pr="00BC732C">
              <w:t>1,165.77</w:t>
            </w:r>
          </w:p>
        </w:tc>
      </w:tr>
      <w:tr w:rsidR="00742880" w14:paraId="6E51AF32" w14:textId="77777777" w:rsidTr="00742880">
        <w:tc>
          <w:tcPr>
            <w:cnfStyle w:val="001000000000" w:firstRow="0" w:lastRow="0" w:firstColumn="1" w:lastColumn="0" w:oddVBand="0" w:evenVBand="0" w:oddHBand="0" w:evenHBand="0" w:firstRowFirstColumn="0" w:firstRowLastColumn="0" w:lastRowFirstColumn="0" w:lastRowLastColumn="0"/>
            <w:tcW w:w="1376" w:type="dxa"/>
          </w:tcPr>
          <w:p w14:paraId="609E417A" w14:textId="77777777" w:rsidR="00742880" w:rsidRDefault="00742880" w:rsidP="00785C91">
            <w:pPr>
              <w:pStyle w:val="TableCopy"/>
            </w:pPr>
            <w:r>
              <w:t xml:space="preserve">Ratio </w:t>
            </w:r>
          </w:p>
        </w:tc>
        <w:tc>
          <w:tcPr>
            <w:tcW w:w="729" w:type="dxa"/>
          </w:tcPr>
          <w:p w14:paraId="23B3653D" w14:textId="77777777" w:rsidR="00742880" w:rsidRPr="00BC732C" w:rsidRDefault="00742880" w:rsidP="00785C91">
            <w:pPr>
              <w:pStyle w:val="TableCopy"/>
              <w:jc w:val="center"/>
              <w:cnfStyle w:val="000000000000" w:firstRow="0" w:lastRow="0" w:firstColumn="0" w:lastColumn="0" w:oddVBand="0" w:evenVBand="0" w:oddHBand="0" w:evenHBand="0" w:firstRowFirstColumn="0" w:firstRowLastColumn="0" w:lastRowFirstColumn="0" w:lastRowLastColumn="0"/>
            </w:pPr>
            <w:r>
              <w:t>1.0–1.1</w:t>
            </w:r>
          </w:p>
        </w:tc>
        <w:tc>
          <w:tcPr>
            <w:tcW w:w="984" w:type="dxa"/>
          </w:tcPr>
          <w:p w14:paraId="343F8EB5" w14:textId="2B0BC5D1" w:rsidR="00742880" w:rsidRPr="00BC732C" w:rsidRDefault="00742880" w:rsidP="00785C91">
            <w:pPr>
              <w:pStyle w:val="TableCopy"/>
              <w:jc w:val="center"/>
              <w:cnfStyle w:val="000000000000" w:firstRow="0" w:lastRow="0" w:firstColumn="0" w:lastColumn="0" w:oddVBand="0" w:evenVBand="0" w:oddHBand="0" w:evenHBand="0" w:firstRowFirstColumn="0" w:firstRowLastColumn="0" w:lastRowFirstColumn="0" w:lastRowLastColumn="0"/>
            </w:pPr>
            <w:r>
              <w:t>1.0–1.1</w:t>
            </w:r>
          </w:p>
        </w:tc>
        <w:tc>
          <w:tcPr>
            <w:tcW w:w="984" w:type="dxa"/>
          </w:tcPr>
          <w:p w14:paraId="05527C6A" w14:textId="2073D712" w:rsidR="00742880" w:rsidRPr="00BC732C" w:rsidRDefault="00742880" w:rsidP="00785C91">
            <w:pPr>
              <w:pStyle w:val="TableCopy"/>
              <w:jc w:val="center"/>
              <w:cnfStyle w:val="000000000000" w:firstRow="0" w:lastRow="0" w:firstColumn="0" w:lastColumn="0" w:oddVBand="0" w:evenVBand="0" w:oddHBand="0" w:evenHBand="0" w:firstRowFirstColumn="0" w:firstRowLastColumn="0" w:lastRowFirstColumn="0" w:lastRowLastColumn="0"/>
            </w:pPr>
            <w:r>
              <w:t>1.0–1.1</w:t>
            </w:r>
          </w:p>
        </w:tc>
        <w:tc>
          <w:tcPr>
            <w:tcW w:w="984" w:type="dxa"/>
          </w:tcPr>
          <w:p w14:paraId="3242BF16" w14:textId="15CA58CE" w:rsidR="00742880" w:rsidRPr="00BC732C" w:rsidRDefault="00742880" w:rsidP="00785C91">
            <w:pPr>
              <w:pStyle w:val="TableCopy"/>
              <w:jc w:val="center"/>
              <w:cnfStyle w:val="000000000000" w:firstRow="0" w:lastRow="0" w:firstColumn="0" w:lastColumn="0" w:oddVBand="0" w:evenVBand="0" w:oddHBand="0" w:evenHBand="0" w:firstRowFirstColumn="0" w:firstRowLastColumn="0" w:lastRowFirstColumn="0" w:lastRowLastColumn="0"/>
            </w:pPr>
            <w:r>
              <w:t>1.0–1.1</w:t>
            </w:r>
          </w:p>
        </w:tc>
        <w:tc>
          <w:tcPr>
            <w:tcW w:w="984" w:type="dxa"/>
          </w:tcPr>
          <w:p w14:paraId="45A979B2" w14:textId="77777777" w:rsidR="00742880" w:rsidRPr="00BC732C" w:rsidRDefault="00742880" w:rsidP="00785C91">
            <w:pPr>
              <w:pStyle w:val="TableCopy"/>
              <w:jc w:val="center"/>
              <w:cnfStyle w:val="000000000000" w:firstRow="0" w:lastRow="0" w:firstColumn="0" w:lastColumn="0" w:oddVBand="0" w:evenVBand="0" w:oddHBand="0" w:evenHBand="0" w:firstRowFirstColumn="0" w:firstRowLastColumn="0" w:lastRowFirstColumn="0" w:lastRowLastColumn="0"/>
            </w:pPr>
            <w:r w:rsidRPr="00BC732C">
              <w:t>1.3</w:t>
            </w:r>
          </w:p>
        </w:tc>
        <w:tc>
          <w:tcPr>
            <w:tcW w:w="993" w:type="dxa"/>
          </w:tcPr>
          <w:p w14:paraId="11AE7F2D" w14:textId="77777777" w:rsidR="00742880" w:rsidRDefault="00742880" w:rsidP="00785C91">
            <w:pPr>
              <w:pStyle w:val="TableCopy"/>
              <w:jc w:val="center"/>
              <w:cnfStyle w:val="000000000000" w:firstRow="0" w:lastRow="0" w:firstColumn="0" w:lastColumn="0" w:oddVBand="0" w:evenVBand="0" w:oddHBand="0" w:evenHBand="0" w:firstRowFirstColumn="0" w:firstRowLastColumn="0" w:lastRowFirstColumn="0" w:lastRowLastColumn="0"/>
            </w:pPr>
            <w:r w:rsidRPr="00BC732C">
              <w:t>1.7</w:t>
            </w:r>
          </w:p>
        </w:tc>
      </w:tr>
      <w:tr w:rsidR="00742880" w14:paraId="35D20F8F" w14:textId="77777777" w:rsidTr="00742880">
        <w:tc>
          <w:tcPr>
            <w:cnfStyle w:val="001000000000" w:firstRow="0" w:lastRow="0" w:firstColumn="1" w:lastColumn="0" w:oddVBand="0" w:evenVBand="0" w:oddHBand="0" w:evenHBand="0" w:firstRowFirstColumn="0" w:firstRowLastColumn="0" w:lastRowFirstColumn="0" w:lastRowLastColumn="0"/>
            <w:tcW w:w="1376" w:type="dxa"/>
          </w:tcPr>
          <w:p w14:paraId="4EBB06CD" w14:textId="77777777" w:rsidR="00742880" w:rsidRDefault="00742880" w:rsidP="00742880">
            <w:pPr>
              <w:pStyle w:val="TableCopy"/>
            </w:pPr>
            <w:r>
              <w:t xml:space="preserve">Proposed cap </w:t>
            </w:r>
          </w:p>
        </w:tc>
        <w:tc>
          <w:tcPr>
            <w:tcW w:w="729" w:type="dxa"/>
          </w:tcPr>
          <w:p w14:paraId="59FB02C0" w14:textId="77777777" w:rsidR="00742880" w:rsidRDefault="00742880" w:rsidP="00742880">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t>2,000–</w:t>
            </w:r>
            <w:r>
              <w:rPr>
                <w:rFonts w:ascii="Times New Roman" w:hAnsi="Times New Roman"/>
              </w:rPr>
              <w:t>$</w:t>
            </w:r>
            <w:r>
              <w:t>2,200</w:t>
            </w:r>
          </w:p>
        </w:tc>
        <w:tc>
          <w:tcPr>
            <w:tcW w:w="984" w:type="dxa"/>
          </w:tcPr>
          <w:p w14:paraId="0DA564FB" w14:textId="21285637" w:rsidR="00742880" w:rsidRDefault="00742880" w:rsidP="00742880">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t>2,000–</w:t>
            </w:r>
            <w:r>
              <w:rPr>
                <w:rFonts w:ascii="Times New Roman" w:hAnsi="Times New Roman"/>
              </w:rPr>
              <w:t>$</w:t>
            </w:r>
            <w:r>
              <w:t>2,200</w:t>
            </w:r>
          </w:p>
        </w:tc>
        <w:tc>
          <w:tcPr>
            <w:tcW w:w="984" w:type="dxa"/>
          </w:tcPr>
          <w:p w14:paraId="1D1FB3DF" w14:textId="42B13748" w:rsidR="00742880" w:rsidRDefault="00742880" w:rsidP="00742880">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t>2,000–</w:t>
            </w:r>
            <w:r>
              <w:rPr>
                <w:rFonts w:ascii="Times New Roman" w:hAnsi="Times New Roman"/>
              </w:rPr>
              <w:t>$</w:t>
            </w:r>
            <w:r>
              <w:t>2,200</w:t>
            </w:r>
          </w:p>
        </w:tc>
        <w:tc>
          <w:tcPr>
            <w:tcW w:w="984" w:type="dxa"/>
          </w:tcPr>
          <w:p w14:paraId="7800C734" w14:textId="27E64014" w:rsidR="00742880" w:rsidRDefault="00742880" w:rsidP="00742880">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t>2,000–</w:t>
            </w:r>
            <w:r>
              <w:rPr>
                <w:rFonts w:ascii="Times New Roman" w:hAnsi="Times New Roman"/>
              </w:rPr>
              <w:t>$</w:t>
            </w:r>
            <w:r>
              <w:t>2,200</w:t>
            </w:r>
          </w:p>
        </w:tc>
        <w:tc>
          <w:tcPr>
            <w:tcW w:w="984" w:type="dxa"/>
          </w:tcPr>
          <w:p w14:paraId="50E702D6" w14:textId="77777777" w:rsidR="00742880" w:rsidRDefault="00742880" w:rsidP="00742880">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t>2,600</w:t>
            </w:r>
          </w:p>
        </w:tc>
        <w:tc>
          <w:tcPr>
            <w:tcW w:w="993" w:type="dxa"/>
          </w:tcPr>
          <w:p w14:paraId="4964A9C7" w14:textId="77777777" w:rsidR="00742880" w:rsidRDefault="00742880" w:rsidP="00742880">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t>3,400</w:t>
            </w:r>
          </w:p>
        </w:tc>
      </w:tr>
    </w:tbl>
    <w:p w14:paraId="56ABB9BD" w14:textId="086AABAA" w:rsidR="00785C91" w:rsidRDefault="00785C91" w:rsidP="00785C91">
      <w:pPr>
        <w:pStyle w:val="TableNotes"/>
      </w:pPr>
      <w:r>
        <w:t>*Note</w:t>
      </w:r>
      <w:r w:rsidR="009C1EE6">
        <w:t>:</w:t>
      </w:r>
      <w:r>
        <w:t xml:space="preserve"> Geraldton is a </w:t>
      </w:r>
      <w:proofErr w:type="spellStart"/>
      <w:r>
        <w:t>PhARIA</w:t>
      </w:r>
      <w:proofErr w:type="spellEnd"/>
      <w:r>
        <w:t xml:space="preserve"> 1 location but has an exemption for the CPE Allowance. </w:t>
      </w:r>
    </w:p>
    <w:p w14:paraId="15016ADE" w14:textId="6A05A727" w:rsidR="001E3978" w:rsidRDefault="00E6234E" w:rsidP="00587902">
      <w:pPr>
        <w:pStyle w:val="BodyCopy"/>
      </w:pPr>
      <w:r>
        <w:t xml:space="preserve">Many pharmacists stated that the retrospective nature of the CPE Allowance was a limiting feature of the program. CPE Allowance claims need to be made after the </w:t>
      </w:r>
      <w:r>
        <w:lastRenderedPageBreak/>
        <w:t xml:space="preserve">fact, with no guarantee of payment. This can be a disincentive for some </w:t>
      </w:r>
      <w:r w:rsidR="001E3978">
        <w:t>pharmacists</w:t>
      </w:r>
      <w:r>
        <w:t xml:space="preserve"> who may not be able to afford the costs </w:t>
      </w:r>
      <w:r w:rsidR="001E3978">
        <w:t xml:space="preserve">upfront. HMA can see the value in changing to a prospective allowance. However, the additional administration required for a program that already has a large administrative burden may be cost prohibitive. </w:t>
      </w:r>
    </w:p>
    <w:p w14:paraId="726D8D01" w14:textId="20C1CDF2" w:rsidR="00587902" w:rsidRDefault="001E3978" w:rsidP="00587902">
      <w:pPr>
        <w:pStyle w:val="BodyCopy"/>
      </w:pPr>
      <w:r>
        <w:t>Conversely, streamlining the application process or modifying the process to be based on a per diem rather than actual cost-reimbursement could reduce administration time,</w:t>
      </w:r>
      <w:r w:rsidR="00E50284">
        <w:t xml:space="preserve"> while maintaining consistency in actual claim amounts. However, simplifying the claim process may lead to increased demand. </w:t>
      </w:r>
      <w:r>
        <w:t xml:space="preserve"> </w:t>
      </w:r>
    </w:p>
    <w:p w14:paraId="6FC74EB4" w14:textId="75EA6F36" w:rsidR="001E3978" w:rsidRDefault="001E3978" w:rsidP="00587902">
      <w:pPr>
        <w:pStyle w:val="BodyCopy"/>
      </w:pPr>
      <w:r>
        <w:t xml:space="preserve">Finally, the inequity of multiple claims per pharmacist could be negated with a limit per person based on funds </w:t>
      </w:r>
      <w:r w:rsidR="00373202">
        <w:t xml:space="preserve">received or </w:t>
      </w:r>
      <w:r>
        <w:t xml:space="preserve">number of claims. </w:t>
      </w:r>
      <w:r w:rsidR="00373202">
        <w:t xml:space="preserve">However, to facilitate this option, an investment in appropriate software to track claims against individuals may be required. This type of software would also simplify the application process for pharmacists, as proof of citizenship and other documents could remain linked to an individual’s ‘account’.  </w:t>
      </w:r>
    </w:p>
    <w:p w14:paraId="4C234C98" w14:textId="3DB967F9" w:rsidR="006F33E8" w:rsidRDefault="00373202" w:rsidP="00453658">
      <w:pPr>
        <w:pStyle w:val="BodyCopy"/>
      </w:pPr>
      <w:r>
        <w:t xml:space="preserve">The CPE Allowance program has several limitations that restrict use by pharmacists. However, removal of these limitations need to be considered in the context of additional funds that would </w:t>
      </w:r>
      <w:r w:rsidR="00303997">
        <w:t xml:space="preserve">then </w:t>
      </w:r>
      <w:r>
        <w:t xml:space="preserve">be </w:t>
      </w:r>
      <w:r w:rsidR="00303997">
        <w:t>required</w:t>
      </w:r>
      <w:r>
        <w:t xml:space="preserve"> to</w:t>
      </w:r>
      <w:r w:rsidR="00303997">
        <w:t xml:space="preserve"> implement </w:t>
      </w:r>
      <w:r>
        <w:t>the program</w:t>
      </w:r>
      <w:r w:rsidR="009C1EE6">
        <w:t xml:space="preserve"> </w:t>
      </w:r>
      <w:r w:rsidR="00303997">
        <w:t xml:space="preserve">and whether or not the benefit would outweigh the cost, or if funds could be redirected from lesser performing programs. </w:t>
      </w:r>
    </w:p>
    <w:p w14:paraId="013E5125" w14:textId="77777777" w:rsidR="006D328E" w:rsidRPr="00464F96" w:rsidRDefault="006D328E" w:rsidP="00F235DC">
      <w:pPr>
        <w:pStyle w:val="Heading2"/>
      </w:pPr>
      <w:bookmarkStart w:id="49" w:name="_Toc523318812"/>
      <w:r w:rsidRPr="00464F96">
        <w:t>Emerg</w:t>
      </w:r>
      <w:r w:rsidR="00464F96" w:rsidRPr="00464F96">
        <w:t>ency L</w:t>
      </w:r>
      <w:r w:rsidRPr="00464F96">
        <w:t>ocum Service</w:t>
      </w:r>
      <w:bookmarkEnd w:id="49"/>
    </w:p>
    <w:p w14:paraId="4EBB9776" w14:textId="493D6D42" w:rsidR="00436590" w:rsidRDefault="00436590" w:rsidP="00F235DC">
      <w:pPr>
        <w:pStyle w:val="Heading3"/>
      </w:pPr>
      <w:bookmarkStart w:id="50" w:name="_Toc523318813"/>
      <w:r>
        <w:t>Context</w:t>
      </w:r>
      <w:bookmarkEnd w:id="50"/>
    </w:p>
    <w:p w14:paraId="0DAE6B5A" w14:textId="77777777" w:rsidR="00BD5FA2" w:rsidRDefault="00BD5FA2" w:rsidP="00F235DC">
      <w:pPr>
        <w:pStyle w:val="Heading4"/>
      </w:pPr>
      <w:r>
        <w:t xml:space="preserve">Target population </w:t>
      </w:r>
    </w:p>
    <w:p w14:paraId="775926B2" w14:textId="198C31D1" w:rsidR="00BD5FA2" w:rsidRPr="00407197" w:rsidRDefault="00BD5FA2" w:rsidP="00BD5FA2">
      <w:pPr>
        <w:pStyle w:val="BodyCopy"/>
      </w:pPr>
      <w:r>
        <w:t xml:space="preserve">The Emergency Locum Service (ELS) supports </w:t>
      </w:r>
      <w:r w:rsidR="00F00CCE">
        <w:t xml:space="preserve">community pharmacies </w:t>
      </w:r>
      <w:r>
        <w:t>in rural and remote areas (</w:t>
      </w:r>
      <w:proofErr w:type="spellStart"/>
      <w:r>
        <w:t>PhARIA</w:t>
      </w:r>
      <w:proofErr w:type="spellEnd"/>
      <w:r>
        <w:t xml:space="preserve"> 2</w:t>
      </w:r>
      <w:r w:rsidR="009C1EE6">
        <w:t>–</w:t>
      </w:r>
      <w:r>
        <w:t>6).</w:t>
      </w:r>
      <w:sdt>
        <w:sdtPr>
          <w:id w:val="175082322"/>
          <w:citation/>
        </w:sdtPr>
        <w:sdtContent>
          <w:r>
            <w:fldChar w:fldCharType="begin"/>
          </w:r>
          <w:r>
            <w:instrText xml:space="preserve"> CITATION The1511 \l 3081 </w:instrText>
          </w:r>
          <w:r>
            <w:fldChar w:fldCharType="separate"/>
          </w:r>
          <w:r w:rsidR="0089011F">
            <w:rPr>
              <w:noProof/>
            </w:rPr>
            <w:t xml:space="preserve"> </w:t>
          </w:r>
          <w:r w:rsidR="0089011F" w:rsidRPr="0089011F">
            <w:rPr>
              <w:noProof/>
            </w:rPr>
            <w:t>[35]</w:t>
          </w:r>
          <w:r>
            <w:fldChar w:fldCharType="end"/>
          </w:r>
        </w:sdtContent>
      </w:sdt>
      <w:r>
        <w:t xml:space="preserve"> </w:t>
      </w:r>
    </w:p>
    <w:p w14:paraId="322E740D" w14:textId="20BB3B24" w:rsidR="00436590" w:rsidRPr="0082020E" w:rsidRDefault="00436590" w:rsidP="00F235DC">
      <w:pPr>
        <w:pStyle w:val="Heading4"/>
      </w:pPr>
      <w:r w:rsidRPr="0082020E">
        <w:t xml:space="preserve">Program </w:t>
      </w:r>
      <w:r w:rsidR="00667940">
        <w:t>aim</w:t>
      </w:r>
    </w:p>
    <w:p w14:paraId="3B26D417" w14:textId="77777777" w:rsidR="00436590" w:rsidRDefault="004968C4" w:rsidP="0082020E">
      <w:pPr>
        <w:pStyle w:val="BodyCopy"/>
      </w:pPr>
      <w:r w:rsidRPr="004968C4">
        <w:t>The aim of this program is to support rural and remote communities to retain access to community pharmacy services at all usual times.</w:t>
      </w:r>
    </w:p>
    <w:p w14:paraId="5BA34720" w14:textId="77777777" w:rsidR="00436590" w:rsidRPr="0082020E" w:rsidRDefault="00436590" w:rsidP="00F235DC">
      <w:pPr>
        <w:pStyle w:val="Heading4"/>
      </w:pPr>
      <w:r w:rsidRPr="0082020E">
        <w:t>Program delivery method</w:t>
      </w:r>
    </w:p>
    <w:p w14:paraId="21EC8F7D" w14:textId="15F92842" w:rsidR="004A5105" w:rsidRDefault="00BD5FA2" w:rsidP="00BD5FA2">
      <w:pPr>
        <w:pStyle w:val="BodyCopy"/>
      </w:pPr>
      <w:r>
        <w:t xml:space="preserve">The ELS provides rural and remote </w:t>
      </w:r>
      <w:r w:rsidR="00F00CCE">
        <w:t xml:space="preserve">community pharmacies </w:t>
      </w:r>
      <w:r>
        <w:t>direct access to pharmacist locums in emergency situations (e.g. pharmacist illness or injury, family emergency) 24 hours a day, 7 days a week.</w:t>
      </w:r>
      <w:sdt>
        <w:sdtPr>
          <w:id w:val="1440568796"/>
          <w:citation/>
        </w:sdtPr>
        <w:sdtContent>
          <w:r>
            <w:fldChar w:fldCharType="begin"/>
          </w:r>
          <w:r>
            <w:instrText xml:space="preserve"> CITATION The1511 \l 3081 </w:instrText>
          </w:r>
          <w:r>
            <w:fldChar w:fldCharType="separate"/>
          </w:r>
          <w:r w:rsidR="0089011F">
            <w:rPr>
              <w:noProof/>
            </w:rPr>
            <w:t xml:space="preserve"> </w:t>
          </w:r>
          <w:r w:rsidR="0089011F" w:rsidRPr="0089011F">
            <w:rPr>
              <w:noProof/>
            </w:rPr>
            <w:t>[35]</w:t>
          </w:r>
          <w:r>
            <w:fldChar w:fldCharType="end"/>
          </w:r>
        </w:sdtContent>
      </w:sdt>
      <w:r>
        <w:t xml:space="preserve"> </w:t>
      </w:r>
    </w:p>
    <w:p w14:paraId="0B49615D" w14:textId="5B6C7F9E" w:rsidR="00BD5FA2" w:rsidRPr="00407197" w:rsidRDefault="004A5105" w:rsidP="00BD5FA2">
      <w:pPr>
        <w:pStyle w:val="BodyCopy"/>
      </w:pPr>
      <w:r>
        <w:t>Through the Community Pharmacy Agreements, the Pharmacy Guild of Australia fund</w:t>
      </w:r>
      <w:r w:rsidR="00F00CCE">
        <w:t>s</w:t>
      </w:r>
      <w:r>
        <w:t xml:space="preserve"> one service provider, </w:t>
      </w:r>
      <w:proofErr w:type="spellStart"/>
      <w:r>
        <w:t>LocumCo</w:t>
      </w:r>
      <w:proofErr w:type="spellEnd"/>
      <w:r>
        <w:t xml:space="preserve">, to provide the ELS service to community pharmacists. </w:t>
      </w:r>
      <w:proofErr w:type="spellStart"/>
      <w:r>
        <w:t>LocumCo</w:t>
      </w:r>
      <w:proofErr w:type="spellEnd"/>
      <w:r>
        <w:t xml:space="preserve"> is responsible for receiving and approving ELS requests and deploying locums within a 24-</w:t>
      </w:r>
      <w:r w:rsidR="00F26E7C">
        <w:t>hour period of request receipt.</w:t>
      </w:r>
      <w:r>
        <w:t xml:space="preserve"> </w:t>
      </w:r>
      <w:r w:rsidR="00BD5FA2">
        <w:t xml:space="preserve">The </w:t>
      </w:r>
      <w:r>
        <w:t>p</w:t>
      </w:r>
      <w:r w:rsidR="00BD5FA2">
        <w:t xml:space="preserve">rogram provides funding of up to </w:t>
      </w:r>
      <w:r w:rsidR="00BD5FA2">
        <w:rPr>
          <w:rFonts w:ascii="Times New Roman" w:hAnsi="Times New Roman"/>
        </w:rPr>
        <w:t>$</w:t>
      </w:r>
      <w:r w:rsidR="00BD5FA2">
        <w:t>2,500 (GST exempt) to cover the travel costs associated with locums travell</w:t>
      </w:r>
      <w:r>
        <w:t>ing between their home and the c</w:t>
      </w:r>
      <w:r w:rsidR="00BD5FA2">
        <w:t xml:space="preserve">ommunity </w:t>
      </w:r>
      <w:r>
        <w:t>p</w:t>
      </w:r>
      <w:r w:rsidR="00BD5FA2">
        <w:t>harmacy</w:t>
      </w:r>
      <w:r w:rsidR="0051345A">
        <w:t>, for a minimum of one day and a maximum of seven consecutive days</w:t>
      </w:r>
      <w:r w:rsidR="00BD5FA2">
        <w:t xml:space="preserve">. </w:t>
      </w:r>
      <w:r w:rsidR="009750BD" w:rsidRPr="009750BD">
        <w:t>The pharmacy is responsible for the locum’s accommodation requirements</w:t>
      </w:r>
      <w:r w:rsidR="00F26E7C">
        <w:t xml:space="preserve"> and salary.</w:t>
      </w:r>
    </w:p>
    <w:p w14:paraId="1928F40B" w14:textId="77777777" w:rsidR="00436590" w:rsidRPr="0082020E" w:rsidRDefault="00436590" w:rsidP="00F235DC">
      <w:pPr>
        <w:pStyle w:val="Heading4"/>
      </w:pPr>
      <w:r w:rsidRPr="0082020E">
        <w:t>Program volumes</w:t>
      </w:r>
    </w:p>
    <w:p w14:paraId="532719DE" w14:textId="6B8BE724" w:rsidR="00BD5FA2" w:rsidRDefault="00BD5FA2" w:rsidP="000049AF">
      <w:pPr>
        <w:pStyle w:val="BodyCopy"/>
      </w:pPr>
      <w:r>
        <w:t xml:space="preserve">Program data indicated </w:t>
      </w:r>
      <w:r w:rsidR="000049AF">
        <w:t>that</w:t>
      </w:r>
      <w:r w:rsidR="00F00CCE">
        <w:t>,</w:t>
      </w:r>
      <w:r w:rsidR="000049AF">
        <w:t xml:space="preserve"> from the 2010</w:t>
      </w:r>
      <w:r w:rsidR="00F00CCE">
        <w:t>–</w:t>
      </w:r>
      <w:r w:rsidR="000049AF">
        <w:t>11 financial year to the 2015</w:t>
      </w:r>
      <w:r w:rsidR="00F00CCE">
        <w:t>–</w:t>
      </w:r>
      <w:r w:rsidR="000049AF">
        <w:t>16 financial year</w:t>
      </w:r>
      <w:r w:rsidR="00F00CCE">
        <w:t>,</w:t>
      </w:r>
      <w:r w:rsidR="000049AF">
        <w:t xml:space="preserve"> a total of 272 ELS requests were approved (no request was refused during this time), equating to 1,028 locum days. Requests (and approvals) increased from 31 in the 2010</w:t>
      </w:r>
      <w:r w:rsidR="00F00CCE">
        <w:t>–</w:t>
      </w:r>
      <w:r w:rsidR="000049AF">
        <w:t xml:space="preserve">11 financial year to 85 in </w:t>
      </w:r>
      <w:r>
        <w:t>the 2015</w:t>
      </w:r>
      <w:r w:rsidR="00F00CCE">
        <w:t>–</w:t>
      </w:r>
      <w:r>
        <w:t>16 financial year.</w:t>
      </w:r>
      <w:sdt>
        <w:sdtPr>
          <w:id w:val="1434326765"/>
          <w:citation/>
        </w:sdtPr>
        <w:sdtContent>
          <w:r>
            <w:fldChar w:fldCharType="begin"/>
          </w:r>
          <w:r>
            <w:instrText xml:space="preserve"> CITATION The1611 \l 3081 </w:instrText>
          </w:r>
          <w:r>
            <w:fldChar w:fldCharType="separate"/>
          </w:r>
          <w:r w:rsidR="0089011F">
            <w:rPr>
              <w:noProof/>
            </w:rPr>
            <w:t xml:space="preserve"> </w:t>
          </w:r>
          <w:r w:rsidR="0089011F" w:rsidRPr="0089011F">
            <w:rPr>
              <w:noProof/>
            </w:rPr>
            <w:t>[36]</w:t>
          </w:r>
          <w:r>
            <w:fldChar w:fldCharType="end"/>
          </w:r>
        </w:sdtContent>
      </w:sdt>
      <w:r>
        <w:t xml:space="preserve"> </w:t>
      </w:r>
      <w:r w:rsidR="001C6224">
        <w:t xml:space="preserve">See </w:t>
      </w:r>
      <w:r w:rsidR="001C6224">
        <w:fldChar w:fldCharType="begin"/>
      </w:r>
      <w:r w:rsidR="001C6224">
        <w:instrText xml:space="preserve"> REF _Ref487456931 \h </w:instrText>
      </w:r>
      <w:r w:rsidR="001C6224">
        <w:fldChar w:fldCharType="separate"/>
      </w:r>
      <w:r w:rsidR="00910E65">
        <w:t xml:space="preserve">Figure </w:t>
      </w:r>
      <w:r w:rsidR="00910E65">
        <w:rPr>
          <w:noProof/>
        </w:rPr>
        <w:t>3</w:t>
      </w:r>
      <w:r w:rsidR="00910E65">
        <w:t>.</w:t>
      </w:r>
      <w:r w:rsidR="00910E65">
        <w:rPr>
          <w:noProof/>
        </w:rPr>
        <w:t>1</w:t>
      </w:r>
      <w:r w:rsidR="001C6224">
        <w:fldChar w:fldCharType="end"/>
      </w:r>
      <w:r w:rsidR="001C6224">
        <w:t xml:space="preserve">. </w:t>
      </w:r>
    </w:p>
    <w:p w14:paraId="1E184B9E" w14:textId="6B8FFB5C" w:rsidR="001C6224" w:rsidRDefault="001C6224" w:rsidP="001C6224">
      <w:pPr>
        <w:pStyle w:val="BodyCopy"/>
      </w:pPr>
      <w:r>
        <w:t>Although the range of ELS locum da</w:t>
      </w:r>
      <w:r w:rsidR="00253F89">
        <w:t>ys per episode fluctuated from one</w:t>
      </w:r>
      <w:r>
        <w:t xml:space="preserve"> day to 12 days, the average length remained constantly between three to five days each financial year, with an overall average of 3.8 days. See </w:t>
      </w:r>
      <w:r>
        <w:fldChar w:fldCharType="begin"/>
      </w:r>
      <w:r>
        <w:instrText xml:space="preserve"> REF _Ref487456893 \h </w:instrText>
      </w:r>
      <w:r>
        <w:fldChar w:fldCharType="separate"/>
      </w:r>
      <w:r w:rsidR="00910E65">
        <w:t xml:space="preserve">Figure </w:t>
      </w:r>
      <w:r w:rsidR="00910E65">
        <w:rPr>
          <w:noProof/>
        </w:rPr>
        <w:t>3</w:t>
      </w:r>
      <w:r w:rsidR="00910E65">
        <w:t>.</w:t>
      </w:r>
      <w:r w:rsidR="00910E65">
        <w:rPr>
          <w:noProof/>
        </w:rPr>
        <w:t>2</w:t>
      </w:r>
      <w:r>
        <w:fldChar w:fldCharType="end"/>
      </w:r>
      <w:r>
        <w:t>.</w:t>
      </w:r>
    </w:p>
    <w:p w14:paraId="2519AA71" w14:textId="50944F0C" w:rsidR="00253F89" w:rsidRDefault="00253F89" w:rsidP="001C6224">
      <w:pPr>
        <w:pStyle w:val="BodyCopy"/>
      </w:pPr>
      <w:r>
        <w:t>Interestingly, although the ELS funding program caps placements at seven consecutive days, 8.1% of episodes were for eight or more days</w:t>
      </w:r>
      <w:r w:rsidR="00FF44D0">
        <w:t xml:space="preserve">, see </w:t>
      </w:r>
      <w:r w:rsidR="00FF44D0">
        <w:fldChar w:fldCharType="begin"/>
      </w:r>
      <w:r w:rsidR="00FF44D0">
        <w:instrText xml:space="preserve"> REF _Ref487531175 \h </w:instrText>
      </w:r>
      <w:r w:rsidR="00FF44D0">
        <w:fldChar w:fldCharType="separate"/>
      </w:r>
      <w:r w:rsidR="00910E65">
        <w:t xml:space="preserve">Figure </w:t>
      </w:r>
      <w:r w:rsidR="00910E65">
        <w:rPr>
          <w:noProof/>
        </w:rPr>
        <w:t>3</w:t>
      </w:r>
      <w:r w:rsidR="00910E65">
        <w:t>.</w:t>
      </w:r>
      <w:r w:rsidR="00910E65">
        <w:rPr>
          <w:noProof/>
        </w:rPr>
        <w:t>3</w:t>
      </w:r>
      <w:r w:rsidR="00FF44D0">
        <w:fldChar w:fldCharType="end"/>
      </w:r>
      <w:r w:rsidR="00FF44D0">
        <w:t xml:space="preserve">. HMA assumes these exceptions were made on a </w:t>
      </w:r>
      <w:r w:rsidR="00A4624E">
        <w:t>case-by-</w:t>
      </w:r>
      <w:r w:rsidR="00FF44D0">
        <w:t xml:space="preserve">case basis. </w:t>
      </w:r>
    </w:p>
    <w:p w14:paraId="64AC73CF" w14:textId="4683530C" w:rsidR="003B521D" w:rsidRPr="001C6224" w:rsidRDefault="001C6224" w:rsidP="001C6224">
      <w:pPr>
        <w:pStyle w:val="Caption"/>
        <w:rPr>
          <w:rStyle w:val="Captionnotbold"/>
        </w:rPr>
      </w:pPr>
      <w:bookmarkStart w:id="51" w:name="_Ref487456931"/>
      <w:r>
        <w:lastRenderedPageBreak/>
        <w:t xml:space="preserve">Figure </w:t>
      </w:r>
      <w:r w:rsidR="00BC6E6C">
        <w:rPr>
          <w:noProof/>
        </w:rPr>
        <w:fldChar w:fldCharType="begin"/>
      </w:r>
      <w:r w:rsidR="00BC6E6C">
        <w:rPr>
          <w:noProof/>
        </w:rPr>
        <w:instrText xml:space="preserve"> STYLEREF 1 \s </w:instrText>
      </w:r>
      <w:r w:rsidR="00BC6E6C">
        <w:rPr>
          <w:noProof/>
        </w:rPr>
        <w:fldChar w:fldCharType="separate"/>
      </w:r>
      <w:r w:rsidR="00910E65">
        <w:rPr>
          <w:noProof/>
        </w:rPr>
        <w:t>3</w:t>
      </w:r>
      <w:r w:rsidR="00BC6E6C">
        <w:rPr>
          <w:noProof/>
        </w:rPr>
        <w:fldChar w:fldCharType="end"/>
      </w:r>
      <w:r w:rsidR="00181D4C">
        <w:t>.</w:t>
      </w:r>
      <w:r w:rsidR="00BC6E6C">
        <w:rPr>
          <w:noProof/>
        </w:rPr>
        <w:fldChar w:fldCharType="begin"/>
      </w:r>
      <w:r w:rsidR="00BC6E6C">
        <w:rPr>
          <w:noProof/>
        </w:rPr>
        <w:instrText xml:space="preserve"> SEQ Figure \* ARABIC \s 1 </w:instrText>
      </w:r>
      <w:r w:rsidR="00BC6E6C">
        <w:rPr>
          <w:noProof/>
        </w:rPr>
        <w:fldChar w:fldCharType="separate"/>
      </w:r>
      <w:r w:rsidR="00910E65">
        <w:rPr>
          <w:noProof/>
        </w:rPr>
        <w:t>1</w:t>
      </w:r>
      <w:r w:rsidR="00BC6E6C">
        <w:rPr>
          <w:noProof/>
        </w:rPr>
        <w:fldChar w:fldCharType="end"/>
      </w:r>
      <w:bookmarkEnd w:id="51"/>
      <w:r>
        <w:t xml:space="preserve">: </w:t>
      </w:r>
      <w:r w:rsidRPr="001C6224">
        <w:rPr>
          <w:rStyle w:val="Captionnotbold"/>
        </w:rPr>
        <w:t>ELS episodes and number of locum days, by financial year</w:t>
      </w:r>
    </w:p>
    <w:p w14:paraId="46E3C655" w14:textId="476EBF7A" w:rsidR="000049AF" w:rsidRDefault="00AA3B4C" w:rsidP="001C6224">
      <w:pPr>
        <w:pStyle w:val="BodyCopy"/>
        <w:jc w:val="center"/>
      </w:pPr>
      <w:r>
        <w:rPr>
          <w:noProof/>
          <w:lang w:eastAsia="en-AU"/>
        </w:rPr>
        <w:drawing>
          <wp:inline distT="0" distB="0" distL="0" distR="0" wp14:anchorId="5CD4B00E" wp14:editId="1297D8F1">
            <wp:extent cx="4096987" cy="2538438"/>
            <wp:effectExtent l="0" t="0" r="0" b="0"/>
            <wp:docPr id="76" name="Picture 76" descr="Figure 3.1 Line graph showing ELS episodes and number of locum days, by financial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09208" cy="2546010"/>
                    </a:xfrm>
                    <a:prstGeom prst="rect">
                      <a:avLst/>
                    </a:prstGeom>
                    <a:noFill/>
                  </pic:spPr>
                </pic:pic>
              </a:graphicData>
            </a:graphic>
          </wp:inline>
        </w:drawing>
      </w:r>
    </w:p>
    <w:p w14:paraId="2B3C8791" w14:textId="70DD1F43" w:rsidR="001C6224" w:rsidRPr="001C6224" w:rsidRDefault="001C6224" w:rsidP="001C6224">
      <w:pPr>
        <w:pStyle w:val="Caption"/>
        <w:rPr>
          <w:rStyle w:val="Captionnotbold"/>
        </w:rPr>
      </w:pPr>
      <w:bookmarkStart w:id="52" w:name="_Ref487456893"/>
      <w:r>
        <w:t xml:space="preserve">Figure </w:t>
      </w:r>
      <w:r w:rsidR="00BC6E6C">
        <w:rPr>
          <w:noProof/>
        </w:rPr>
        <w:fldChar w:fldCharType="begin"/>
      </w:r>
      <w:r w:rsidR="00BC6E6C">
        <w:rPr>
          <w:noProof/>
        </w:rPr>
        <w:instrText xml:space="preserve"> STYLEREF 1 \s </w:instrText>
      </w:r>
      <w:r w:rsidR="00BC6E6C">
        <w:rPr>
          <w:noProof/>
        </w:rPr>
        <w:fldChar w:fldCharType="separate"/>
      </w:r>
      <w:r w:rsidR="00910E65">
        <w:rPr>
          <w:noProof/>
        </w:rPr>
        <w:t>3</w:t>
      </w:r>
      <w:r w:rsidR="00BC6E6C">
        <w:rPr>
          <w:noProof/>
        </w:rPr>
        <w:fldChar w:fldCharType="end"/>
      </w:r>
      <w:r w:rsidR="00181D4C">
        <w:t>.</w:t>
      </w:r>
      <w:r w:rsidR="00BC6E6C">
        <w:rPr>
          <w:noProof/>
        </w:rPr>
        <w:fldChar w:fldCharType="begin"/>
      </w:r>
      <w:r w:rsidR="00BC6E6C">
        <w:rPr>
          <w:noProof/>
        </w:rPr>
        <w:instrText xml:space="preserve"> SEQ Figure \* ARABIC \s 1 </w:instrText>
      </w:r>
      <w:r w:rsidR="00BC6E6C">
        <w:rPr>
          <w:noProof/>
        </w:rPr>
        <w:fldChar w:fldCharType="separate"/>
      </w:r>
      <w:r w:rsidR="00910E65">
        <w:rPr>
          <w:noProof/>
        </w:rPr>
        <w:t>2</w:t>
      </w:r>
      <w:r w:rsidR="00BC6E6C">
        <w:rPr>
          <w:noProof/>
        </w:rPr>
        <w:fldChar w:fldCharType="end"/>
      </w:r>
      <w:bookmarkEnd w:id="52"/>
      <w:r>
        <w:t xml:space="preserve">: </w:t>
      </w:r>
      <w:r w:rsidRPr="001C6224">
        <w:rPr>
          <w:rStyle w:val="Captionnotbold"/>
        </w:rPr>
        <w:t>Average length of ELS episodes (and range), by financial year</w:t>
      </w:r>
    </w:p>
    <w:p w14:paraId="4C29939A" w14:textId="2EC2D4D2" w:rsidR="001C6224" w:rsidRDefault="00AA3B4C" w:rsidP="001C6224">
      <w:pPr>
        <w:pStyle w:val="BodyCopy"/>
        <w:jc w:val="center"/>
      </w:pPr>
      <w:r>
        <w:rPr>
          <w:noProof/>
          <w:lang w:eastAsia="en-AU"/>
        </w:rPr>
        <w:drawing>
          <wp:inline distT="0" distB="0" distL="0" distR="0" wp14:anchorId="08CF44DC" wp14:editId="6FE1A1A5">
            <wp:extent cx="4298868" cy="2512706"/>
            <wp:effectExtent l="0" t="0" r="6985" b="1905"/>
            <wp:docPr id="78" name="Picture 78" descr="Figure 3.2 Mixed mode graph showing average length of ELS episodes (and range), by financial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01301" cy="2514128"/>
                    </a:xfrm>
                    <a:prstGeom prst="rect">
                      <a:avLst/>
                    </a:prstGeom>
                    <a:noFill/>
                  </pic:spPr>
                </pic:pic>
              </a:graphicData>
            </a:graphic>
          </wp:inline>
        </w:drawing>
      </w:r>
    </w:p>
    <w:p w14:paraId="7210512F" w14:textId="7CE1430E" w:rsidR="0051345A" w:rsidRPr="00253F89" w:rsidRDefault="00253F89" w:rsidP="00253F89">
      <w:pPr>
        <w:pStyle w:val="Caption"/>
        <w:rPr>
          <w:rStyle w:val="Captionnotbold"/>
        </w:rPr>
      </w:pPr>
      <w:bookmarkStart w:id="53" w:name="_Ref487531175"/>
      <w:r>
        <w:t xml:space="preserve">Figure </w:t>
      </w:r>
      <w:r w:rsidR="00BC6E6C">
        <w:rPr>
          <w:noProof/>
        </w:rPr>
        <w:fldChar w:fldCharType="begin"/>
      </w:r>
      <w:r w:rsidR="00BC6E6C">
        <w:rPr>
          <w:noProof/>
        </w:rPr>
        <w:instrText xml:space="preserve"> STYLEREF 1 \s </w:instrText>
      </w:r>
      <w:r w:rsidR="00BC6E6C">
        <w:rPr>
          <w:noProof/>
        </w:rPr>
        <w:fldChar w:fldCharType="separate"/>
      </w:r>
      <w:r w:rsidR="00910E65">
        <w:rPr>
          <w:noProof/>
        </w:rPr>
        <w:t>3</w:t>
      </w:r>
      <w:r w:rsidR="00BC6E6C">
        <w:rPr>
          <w:noProof/>
        </w:rPr>
        <w:fldChar w:fldCharType="end"/>
      </w:r>
      <w:r w:rsidR="00181D4C">
        <w:t>.</w:t>
      </w:r>
      <w:r w:rsidR="00BC6E6C">
        <w:rPr>
          <w:noProof/>
        </w:rPr>
        <w:fldChar w:fldCharType="begin"/>
      </w:r>
      <w:r w:rsidR="00BC6E6C">
        <w:rPr>
          <w:noProof/>
        </w:rPr>
        <w:instrText xml:space="preserve"> SEQ Figure \* ARABIC \s 1 </w:instrText>
      </w:r>
      <w:r w:rsidR="00BC6E6C">
        <w:rPr>
          <w:noProof/>
        </w:rPr>
        <w:fldChar w:fldCharType="separate"/>
      </w:r>
      <w:r w:rsidR="00910E65">
        <w:rPr>
          <w:noProof/>
        </w:rPr>
        <w:t>3</w:t>
      </w:r>
      <w:r w:rsidR="00BC6E6C">
        <w:rPr>
          <w:noProof/>
        </w:rPr>
        <w:fldChar w:fldCharType="end"/>
      </w:r>
      <w:bookmarkEnd w:id="53"/>
      <w:r>
        <w:t xml:space="preserve">: </w:t>
      </w:r>
      <w:r w:rsidRPr="00253F89">
        <w:rPr>
          <w:rStyle w:val="Captionnotbold"/>
        </w:rPr>
        <w:t>Length of ELS placements (days)</w:t>
      </w:r>
    </w:p>
    <w:p w14:paraId="77077AE5" w14:textId="77777777" w:rsidR="0051345A" w:rsidRDefault="00253F89" w:rsidP="001C6224">
      <w:pPr>
        <w:pStyle w:val="BodyCopy"/>
        <w:jc w:val="center"/>
      </w:pPr>
      <w:r w:rsidRPr="00253F89">
        <w:rPr>
          <w:noProof/>
          <w:lang w:eastAsia="en-AU"/>
        </w:rPr>
        <w:drawing>
          <wp:inline distT="0" distB="0" distL="0" distR="0" wp14:anchorId="504B8CF4" wp14:editId="2E3AACA0">
            <wp:extent cx="4019018" cy="2534285"/>
            <wp:effectExtent l="0" t="0" r="635" b="0"/>
            <wp:docPr id="67" name="Picture 67" descr="Figure 3.3 Bar graph showing length of ELS placements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19923" cy="2534856"/>
                    </a:xfrm>
                    <a:prstGeom prst="rect">
                      <a:avLst/>
                    </a:prstGeom>
                    <a:noFill/>
                    <a:ln>
                      <a:noFill/>
                    </a:ln>
                  </pic:spPr>
                </pic:pic>
              </a:graphicData>
            </a:graphic>
          </wp:inline>
        </w:drawing>
      </w:r>
    </w:p>
    <w:p w14:paraId="7502A916" w14:textId="77777777" w:rsidR="00436590" w:rsidRDefault="00436590" w:rsidP="00F235DC">
      <w:pPr>
        <w:pStyle w:val="Heading3"/>
      </w:pPr>
      <w:bookmarkStart w:id="54" w:name="_Toc523318814"/>
      <w:r>
        <w:t>Evaluation findings</w:t>
      </w:r>
      <w:bookmarkEnd w:id="54"/>
    </w:p>
    <w:p w14:paraId="021DA19D" w14:textId="77777777" w:rsidR="00436590" w:rsidRPr="0082020E" w:rsidRDefault="00436590" w:rsidP="00F235DC">
      <w:pPr>
        <w:pStyle w:val="Heading4"/>
      </w:pPr>
      <w:r w:rsidRPr="0082020E">
        <w:t>Appropriateness</w:t>
      </w:r>
    </w:p>
    <w:p w14:paraId="45CDB7D0" w14:textId="5C77BEF2" w:rsidR="00BD5FA2" w:rsidRDefault="00BD5FA2" w:rsidP="00BD5FA2">
      <w:pPr>
        <w:pStyle w:val="BodyCopy"/>
      </w:pPr>
      <w:r w:rsidRPr="001C136A">
        <w:t>Access to locum services to enable rural health professionals to take emergency or planned leave is valued</w:t>
      </w:r>
      <w:r>
        <w:t xml:space="preserve"> by health professionals and may influence the decision to stay in rural practice. A number of studies have identified access to locums as a key support to rural health professionals </w:t>
      </w:r>
      <w:sdt>
        <w:sdtPr>
          <w:id w:val="1078177863"/>
          <w:citation/>
        </w:sdtPr>
        <w:sdtContent>
          <w:r>
            <w:fldChar w:fldCharType="begin"/>
          </w:r>
          <w:r>
            <w:instrText xml:space="preserve"> CITATION Kru05 \l 3081  \m Hoy95 \m Kam98</w:instrText>
          </w:r>
          <w:r>
            <w:fldChar w:fldCharType="separate"/>
          </w:r>
          <w:r w:rsidR="0089011F" w:rsidRPr="0089011F">
            <w:rPr>
              <w:noProof/>
            </w:rPr>
            <w:t>[37, 38, 39]</w:t>
          </w:r>
          <w:r>
            <w:fldChar w:fldCharType="end"/>
          </w:r>
        </w:sdtContent>
      </w:sdt>
      <w:r>
        <w:t>. A survey of 148 registered oral health therapists in Western Australia sought to determine the major factors that influence oral health professionals to practise in rural areas.</w:t>
      </w:r>
      <w:sdt>
        <w:sdtPr>
          <w:id w:val="-2064329235"/>
          <w:citation/>
        </w:sdtPr>
        <w:sdtContent>
          <w:r>
            <w:fldChar w:fldCharType="begin"/>
          </w:r>
          <w:r>
            <w:instrText xml:space="preserve"> CITATION Kru05 \l 3081 </w:instrText>
          </w:r>
          <w:r>
            <w:fldChar w:fldCharType="separate"/>
          </w:r>
          <w:r w:rsidR="0089011F">
            <w:rPr>
              <w:noProof/>
            </w:rPr>
            <w:t xml:space="preserve"> </w:t>
          </w:r>
          <w:r w:rsidR="0089011F" w:rsidRPr="0089011F">
            <w:rPr>
              <w:noProof/>
            </w:rPr>
            <w:t>[37]</w:t>
          </w:r>
          <w:r>
            <w:fldChar w:fldCharType="end"/>
          </w:r>
        </w:sdtContent>
      </w:sdt>
      <w:r>
        <w:t xml:space="preserve"> Results indicated the second most important factor influencing oral health therapists to remain in rural locations (behind professional development) was access to locums, mentioned by 34% (n=31) of respondents. </w:t>
      </w:r>
    </w:p>
    <w:p w14:paraId="00116DC0" w14:textId="7BDDEDDD" w:rsidR="00BD5FA2" w:rsidRPr="00A20E58" w:rsidRDefault="00BD5FA2" w:rsidP="00BD5FA2">
      <w:pPr>
        <w:pStyle w:val="BodyCopy"/>
      </w:pPr>
      <w:r w:rsidRPr="001C136A">
        <w:t>However, a survey of allied</w:t>
      </w:r>
      <w:r>
        <w:t xml:space="preserve"> health professionals in rural Victoria found that professional support in the form of locum support was not significantly related to </w:t>
      </w:r>
      <w:r>
        <w:lastRenderedPageBreak/>
        <w:t>intention to stay in a rural practice</w:t>
      </w:r>
      <w:r w:rsidR="004A5105">
        <w:t xml:space="preserve">. Despite this, </w:t>
      </w:r>
      <w:r>
        <w:t xml:space="preserve">98% of respondents </w:t>
      </w:r>
      <w:r w:rsidR="004A5105">
        <w:t xml:space="preserve">(n=135) </w:t>
      </w:r>
      <w:r>
        <w:t>indicated access to locum support was ‘important’ or ‘very important’.</w:t>
      </w:r>
      <w:sdt>
        <w:sdtPr>
          <w:id w:val="1436791720"/>
          <w:citation/>
        </w:sdtPr>
        <w:sdtContent>
          <w:r>
            <w:fldChar w:fldCharType="begin"/>
          </w:r>
          <w:r>
            <w:instrText xml:space="preserve"> CITATION Sta05 \l 3081 </w:instrText>
          </w:r>
          <w:r>
            <w:fldChar w:fldCharType="separate"/>
          </w:r>
          <w:r w:rsidR="0089011F">
            <w:rPr>
              <w:noProof/>
            </w:rPr>
            <w:t xml:space="preserve"> </w:t>
          </w:r>
          <w:r w:rsidR="0089011F" w:rsidRPr="0089011F">
            <w:rPr>
              <w:noProof/>
            </w:rPr>
            <w:t>[40]</w:t>
          </w:r>
          <w:r>
            <w:fldChar w:fldCharType="end"/>
          </w:r>
        </w:sdtContent>
      </w:sdt>
    </w:p>
    <w:p w14:paraId="37AC184C" w14:textId="7CEC3B74" w:rsidR="00BD5FA2" w:rsidRDefault="004A5105" w:rsidP="00BD5FA2">
      <w:pPr>
        <w:pStyle w:val="BodyCopy"/>
      </w:pPr>
      <w:r>
        <w:t>In a 2013 review of Government Health Workforce Programs</w:t>
      </w:r>
      <w:r w:rsidR="00A4624E">
        <w:t>,</w:t>
      </w:r>
      <w:r>
        <w:t xml:space="preserve"> access to locum support for rural healt</w:t>
      </w:r>
      <w:r w:rsidR="00F25007">
        <w:t>h practitioners to undertake CPE</w:t>
      </w:r>
      <w:r>
        <w:t xml:space="preserve"> was identified as a key support.</w:t>
      </w:r>
      <w:sdt>
        <w:sdtPr>
          <w:id w:val="-513846868"/>
          <w:citation/>
        </w:sdtPr>
        <w:sdtContent>
          <w:r>
            <w:fldChar w:fldCharType="begin"/>
          </w:r>
          <w:r>
            <w:instrText xml:space="preserve"> CITATION Mas13 \l 3081 </w:instrText>
          </w:r>
          <w:r>
            <w:fldChar w:fldCharType="separate"/>
          </w:r>
          <w:r w:rsidR="0089011F">
            <w:rPr>
              <w:noProof/>
            </w:rPr>
            <w:t xml:space="preserve"> </w:t>
          </w:r>
          <w:r w:rsidR="0089011F" w:rsidRPr="0089011F">
            <w:rPr>
              <w:noProof/>
            </w:rPr>
            <w:t>[11]</w:t>
          </w:r>
          <w:r>
            <w:fldChar w:fldCharType="end"/>
          </w:r>
        </w:sdtContent>
      </w:sdt>
      <w:r>
        <w:t xml:space="preserve"> </w:t>
      </w:r>
      <w:r w:rsidR="00A4624E">
        <w:t xml:space="preserve">One </w:t>
      </w:r>
      <w:r>
        <w:t xml:space="preserve">such program is the Rural Locum Access Program that </w:t>
      </w:r>
      <w:r w:rsidR="00BD5FA2">
        <w:t>provide</w:t>
      </w:r>
      <w:r>
        <w:t>s</w:t>
      </w:r>
      <w:r w:rsidR="00BD5FA2">
        <w:t xml:space="preserve"> locum relief to enable rural health profess</w:t>
      </w:r>
      <w:r w:rsidR="00F25007">
        <w:t>ionals to undertake CPE</w:t>
      </w:r>
      <w:r w:rsidR="00BD5FA2">
        <w:t xml:space="preserve"> activities outside their location.</w:t>
      </w:r>
      <w:sdt>
        <w:sdtPr>
          <w:id w:val="2142997010"/>
          <w:citation/>
        </w:sdtPr>
        <w:sdtContent>
          <w:r w:rsidR="001C42E6">
            <w:fldChar w:fldCharType="begin"/>
          </w:r>
          <w:r w:rsidR="001C42E6">
            <w:instrText xml:space="preserve"> CITATION Mas13 \l 3081 </w:instrText>
          </w:r>
          <w:r w:rsidR="001C42E6">
            <w:fldChar w:fldCharType="separate"/>
          </w:r>
          <w:r w:rsidR="0089011F">
            <w:rPr>
              <w:noProof/>
            </w:rPr>
            <w:t xml:space="preserve"> </w:t>
          </w:r>
          <w:r w:rsidR="0089011F" w:rsidRPr="0089011F">
            <w:rPr>
              <w:noProof/>
            </w:rPr>
            <w:t>[11]</w:t>
          </w:r>
          <w:r w:rsidR="001C42E6">
            <w:fldChar w:fldCharType="end"/>
          </w:r>
        </w:sdtContent>
      </w:sdt>
    </w:p>
    <w:p w14:paraId="602CE244" w14:textId="10E9107B" w:rsidR="004A5105" w:rsidRDefault="004A5105" w:rsidP="00BD5FA2">
      <w:pPr>
        <w:pStyle w:val="BodyCopy"/>
      </w:pPr>
      <w:r>
        <w:t>As previously discussed, the Australian Government Department of Health funds the Rural LAP</w:t>
      </w:r>
      <w:r w:rsidR="00A4624E">
        <w:t>,</w:t>
      </w:r>
      <w:r>
        <w:t xml:space="preserve"> which is administered by </w:t>
      </w:r>
      <w:r w:rsidRPr="00780DA4">
        <w:t>Aspen Medical Pty Ltd</w:t>
      </w:r>
      <w:r>
        <w:t>. Rural LAP covers the costs of locum travel, accommodation and incentives for up to 14 days leave for rural and 28 days leave for remote healt</w:t>
      </w:r>
      <w:r w:rsidR="00F25007">
        <w:t>h professionals to undertake CPE</w:t>
      </w:r>
      <w:r>
        <w:t xml:space="preserve"> activities.</w:t>
      </w:r>
      <w:sdt>
        <w:sdtPr>
          <w:id w:val="623574621"/>
          <w:citation/>
        </w:sdtPr>
        <w:sdtContent>
          <w:r>
            <w:fldChar w:fldCharType="begin"/>
          </w:r>
          <w:r>
            <w:instrText xml:space="preserve"> CITATION Rur17 \l 3081 </w:instrText>
          </w:r>
          <w:r>
            <w:fldChar w:fldCharType="separate"/>
          </w:r>
          <w:r w:rsidR="0089011F">
            <w:rPr>
              <w:noProof/>
            </w:rPr>
            <w:t xml:space="preserve"> </w:t>
          </w:r>
          <w:r w:rsidR="0089011F" w:rsidRPr="0089011F">
            <w:rPr>
              <w:noProof/>
            </w:rPr>
            <w:t>[34]</w:t>
          </w:r>
          <w:r>
            <w:fldChar w:fldCharType="end"/>
          </w:r>
        </w:sdtContent>
      </w:sdt>
      <w:r>
        <w:t xml:space="preserve"> Health professions eligible to access the Rural LAP include general practitioners, medical specialists, nurses, midwives and allied health (does not include pharmacists).</w:t>
      </w:r>
      <w:sdt>
        <w:sdtPr>
          <w:id w:val="-1682034307"/>
          <w:citation/>
        </w:sdtPr>
        <w:sdtContent>
          <w:r>
            <w:fldChar w:fldCharType="begin"/>
          </w:r>
          <w:r>
            <w:instrText xml:space="preserve"> CITATION Rur17 \l 3081 </w:instrText>
          </w:r>
          <w:r>
            <w:fldChar w:fldCharType="separate"/>
          </w:r>
          <w:r w:rsidR="0089011F">
            <w:rPr>
              <w:noProof/>
            </w:rPr>
            <w:t xml:space="preserve"> </w:t>
          </w:r>
          <w:r w:rsidR="0089011F" w:rsidRPr="0089011F">
            <w:rPr>
              <w:noProof/>
            </w:rPr>
            <w:t>[34]</w:t>
          </w:r>
          <w:r>
            <w:fldChar w:fldCharType="end"/>
          </w:r>
        </w:sdtContent>
      </w:sdt>
    </w:p>
    <w:p w14:paraId="34F13D32" w14:textId="6945A260" w:rsidR="001C42E6" w:rsidRDefault="001C42E6" w:rsidP="00BD5FA2">
      <w:pPr>
        <w:pStyle w:val="BodyCopy"/>
      </w:pPr>
      <w:r>
        <w:t xml:space="preserve">Peak body groups consulted echoed the findings from the literature on the need for emergency locum services to support the sustainability of the pharmacy workforce in non-metropolitan areas, as well as the broader </w:t>
      </w:r>
      <w:r w:rsidR="00667940">
        <w:t xml:space="preserve">aim </w:t>
      </w:r>
      <w:r>
        <w:t>of facilitating access to PBS medicines.</w:t>
      </w:r>
    </w:p>
    <w:p w14:paraId="25C56F9F" w14:textId="2F733F1A" w:rsidR="00BD0FE9" w:rsidRPr="00E50284" w:rsidRDefault="00BD0FE9" w:rsidP="00E50284">
      <w:pPr>
        <w:pStyle w:val="Appropriatenessassessment"/>
      </w:pPr>
      <w:r w:rsidRPr="00E50284">
        <w:t xml:space="preserve">Pharmacists consulted with found the ELS program to be vital during times of emergency. However, pharmacists reiterated the difficulties </w:t>
      </w:r>
      <w:r w:rsidR="00B801F7" w:rsidRPr="00457C0C">
        <w:t xml:space="preserve">in </w:t>
      </w:r>
      <w:r w:rsidRPr="00457C0C">
        <w:t>securing locums to cover absences in non-emergency situations such as for CP</w:t>
      </w:r>
      <w:r w:rsidR="00F25007" w:rsidRPr="00C3264E">
        <w:t>E</w:t>
      </w:r>
      <w:r w:rsidRPr="00E50284">
        <w:t xml:space="preserve"> events. </w:t>
      </w:r>
    </w:p>
    <w:p w14:paraId="2257F30A" w14:textId="213D84AB" w:rsidR="00BD5FA2" w:rsidRPr="00E50284" w:rsidRDefault="001C42E6" w:rsidP="00E50284">
      <w:pPr>
        <w:pStyle w:val="Appropriatenessassessment"/>
      </w:pPr>
      <w:r w:rsidRPr="00E50284">
        <w:t>A</w:t>
      </w:r>
      <w:r w:rsidR="00BD5FA2" w:rsidRPr="00E50284">
        <w:t xml:space="preserve">ccess to locums is highly valued by health professionals and may influence their decision to stay in rural practice. </w:t>
      </w:r>
      <w:r w:rsidRPr="00E50284">
        <w:t>In addition to emergency scenarios, l</w:t>
      </w:r>
      <w:r w:rsidR="00BD5FA2" w:rsidRPr="00E50284">
        <w:t>ocum support is particularly important in enabling health professio</w:t>
      </w:r>
      <w:r w:rsidR="00F25007" w:rsidRPr="00E50284">
        <w:t>nals to take leave to access CPE</w:t>
      </w:r>
      <w:r w:rsidR="00BD5FA2" w:rsidRPr="00E50284">
        <w:t xml:space="preserve">. </w:t>
      </w:r>
    </w:p>
    <w:p w14:paraId="23139D07" w14:textId="77777777" w:rsidR="00436590" w:rsidRPr="0082020E" w:rsidRDefault="00436590" w:rsidP="00F235DC">
      <w:pPr>
        <w:pStyle w:val="Heading4"/>
      </w:pPr>
      <w:r w:rsidRPr="0082020E">
        <w:t>Effectiveness</w:t>
      </w:r>
    </w:p>
    <w:p w14:paraId="427BD994" w14:textId="7B9A97FE" w:rsidR="00492D9A" w:rsidRDefault="0040349E" w:rsidP="0082020E">
      <w:pPr>
        <w:pStyle w:val="BodyCopy"/>
      </w:pPr>
      <w:r>
        <w:t>Analysis</w:t>
      </w:r>
      <w:r w:rsidR="00F069AD">
        <w:t xml:space="preserve"> of the use of the ELS program showed that the number of ELS requests increased over time, from 31 in 2010</w:t>
      </w:r>
      <w:r w:rsidR="00B801F7">
        <w:t>–</w:t>
      </w:r>
      <w:r w:rsidR="00F069AD">
        <w:t>11 to 85 in 2015</w:t>
      </w:r>
      <w:r w:rsidR="00B801F7">
        <w:t>–</w:t>
      </w:r>
      <w:r w:rsidR="00F069AD">
        <w:t>16</w:t>
      </w:r>
      <w:r>
        <w:t xml:space="preserve">, see </w:t>
      </w:r>
      <w:r>
        <w:fldChar w:fldCharType="begin"/>
      </w:r>
      <w:r>
        <w:instrText xml:space="preserve"> REF _Ref487456931 \h </w:instrText>
      </w:r>
      <w:r>
        <w:fldChar w:fldCharType="separate"/>
      </w:r>
      <w:r w:rsidR="00910E65">
        <w:t xml:space="preserve">Figure </w:t>
      </w:r>
      <w:r w:rsidR="00910E65">
        <w:rPr>
          <w:noProof/>
        </w:rPr>
        <w:t>3</w:t>
      </w:r>
      <w:r w:rsidR="00910E65">
        <w:t>.</w:t>
      </w:r>
      <w:r w:rsidR="00910E65">
        <w:rPr>
          <w:noProof/>
        </w:rPr>
        <w:t>1</w:t>
      </w:r>
      <w:r>
        <w:fldChar w:fldCharType="end"/>
      </w:r>
      <w:r w:rsidR="00F069AD">
        <w:t xml:space="preserve">. The increase in demand for the program may reflect the </w:t>
      </w:r>
      <w:r>
        <w:t>greater awareness of the program, although many pharmacists consulted still felt the program was poorly market</w:t>
      </w:r>
      <w:r w:rsidR="00B801F7">
        <w:t>ed</w:t>
      </w:r>
      <w:r>
        <w:t xml:space="preserve"> and eligibility was unclear.  </w:t>
      </w:r>
    </w:p>
    <w:p w14:paraId="2456D9E9" w14:textId="62272196" w:rsidR="00684DDF" w:rsidRDefault="0040349E" w:rsidP="0082020E">
      <w:pPr>
        <w:pStyle w:val="BodyCopy"/>
      </w:pPr>
      <w:r>
        <w:t>However, examination of usage (from 2010</w:t>
      </w:r>
      <w:r w:rsidR="00B801F7">
        <w:t>–</w:t>
      </w:r>
      <w:r>
        <w:t>11 to 2015</w:t>
      </w:r>
      <w:r w:rsidR="00B801F7">
        <w:t>–</w:t>
      </w:r>
      <w:r>
        <w:t xml:space="preserve">16) per </w:t>
      </w:r>
      <w:proofErr w:type="spellStart"/>
      <w:r>
        <w:t>PhARIA</w:t>
      </w:r>
      <w:proofErr w:type="spellEnd"/>
      <w:r>
        <w:t xml:space="preserve"> showed that </w:t>
      </w:r>
      <w:proofErr w:type="spellStart"/>
      <w:r>
        <w:t>PhARIA</w:t>
      </w:r>
      <w:proofErr w:type="spellEnd"/>
      <w:r>
        <w:t xml:space="preserve"> 3,</w:t>
      </w:r>
      <w:r w:rsidR="00B801F7">
        <w:t xml:space="preserve"> </w:t>
      </w:r>
      <w:r>
        <w:t xml:space="preserve">5 and 6 areas were most likely to use the service (24.3%, 25.7% and 23.3%, respectively), followed closely by </w:t>
      </w:r>
      <w:proofErr w:type="spellStart"/>
      <w:r>
        <w:t>PhARIA</w:t>
      </w:r>
      <w:proofErr w:type="spellEnd"/>
      <w:r>
        <w:t xml:space="preserve"> 4 areas (20.2%). Relatively few </w:t>
      </w:r>
      <w:proofErr w:type="spellStart"/>
      <w:r>
        <w:t>PhARIA</w:t>
      </w:r>
      <w:proofErr w:type="spellEnd"/>
      <w:r>
        <w:t xml:space="preserve"> 2 pharmacies accessed the ELS scheme (5.9%) and only one </w:t>
      </w:r>
      <w:proofErr w:type="spellStart"/>
      <w:r>
        <w:t>PhARIA</w:t>
      </w:r>
      <w:proofErr w:type="spellEnd"/>
      <w:r>
        <w:t> 1 pharmacy requested services in the timeframe (note</w:t>
      </w:r>
      <w:r w:rsidR="00B801F7">
        <w:t>:</w:t>
      </w:r>
      <w:r>
        <w:t xml:space="preserve"> </w:t>
      </w:r>
      <w:proofErr w:type="spellStart"/>
      <w:r>
        <w:t>PhARIA</w:t>
      </w:r>
      <w:proofErr w:type="spellEnd"/>
      <w:r>
        <w:t xml:space="preserve"> 1 locations were only excluded from eligibility from 2014</w:t>
      </w:r>
      <w:r w:rsidR="00B801F7">
        <w:t>–</w:t>
      </w:r>
      <w:r>
        <w:t xml:space="preserve">15 financial year onwards). See </w:t>
      </w:r>
      <w:r>
        <w:fldChar w:fldCharType="begin"/>
      </w:r>
      <w:r>
        <w:instrText xml:space="preserve"> REF _Ref487467410 \h </w:instrText>
      </w:r>
      <w:r>
        <w:fldChar w:fldCharType="separate"/>
      </w:r>
      <w:r w:rsidR="00910E65">
        <w:t xml:space="preserve">Table </w:t>
      </w:r>
      <w:r w:rsidR="00910E65">
        <w:rPr>
          <w:noProof/>
        </w:rPr>
        <w:t>3</w:t>
      </w:r>
      <w:r w:rsidR="00910E65">
        <w:t>.</w:t>
      </w:r>
      <w:r w:rsidR="00910E65">
        <w:rPr>
          <w:noProof/>
        </w:rPr>
        <w:t>5</w:t>
      </w:r>
      <w:r>
        <w:fldChar w:fldCharType="end"/>
      </w:r>
      <w:r>
        <w:t xml:space="preserve"> and </w:t>
      </w:r>
      <w:r>
        <w:fldChar w:fldCharType="begin"/>
      </w:r>
      <w:r>
        <w:instrText xml:space="preserve"> REF _Ref487467389 \h </w:instrText>
      </w:r>
      <w:r>
        <w:fldChar w:fldCharType="separate"/>
      </w:r>
      <w:r w:rsidR="00910E65">
        <w:t xml:space="preserve">Figure </w:t>
      </w:r>
      <w:r w:rsidR="00910E65">
        <w:rPr>
          <w:noProof/>
        </w:rPr>
        <w:t>3</w:t>
      </w:r>
      <w:r w:rsidR="00910E65">
        <w:t>.</w:t>
      </w:r>
      <w:r w:rsidR="00910E65">
        <w:rPr>
          <w:noProof/>
        </w:rPr>
        <w:t>4</w:t>
      </w:r>
      <w:r>
        <w:fldChar w:fldCharType="end"/>
      </w:r>
      <w:r>
        <w:t>.</w:t>
      </w:r>
    </w:p>
    <w:p w14:paraId="32F27CA3" w14:textId="52D1BE69" w:rsidR="00A56F0E" w:rsidRDefault="0040349E" w:rsidP="0082020E">
      <w:pPr>
        <w:pStyle w:val="BodyCopy"/>
      </w:pPr>
      <w:r>
        <w:t xml:space="preserve">Examination of the length of locum days per </w:t>
      </w:r>
      <w:proofErr w:type="spellStart"/>
      <w:r>
        <w:t>PhARIA</w:t>
      </w:r>
      <w:proofErr w:type="spellEnd"/>
      <w:r>
        <w:t xml:space="preserve"> showed a similar pattern. However, the proportion of locum days was higher in </w:t>
      </w:r>
      <w:proofErr w:type="spellStart"/>
      <w:r>
        <w:t>PhARIA</w:t>
      </w:r>
      <w:proofErr w:type="spellEnd"/>
      <w:r>
        <w:t xml:space="preserve"> 6 areas (33.5%), see </w:t>
      </w:r>
      <w:r>
        <w:fldChar w:fldCharType="begin"/>
      </w:r>
      <w:r>
        <w:instrText xml:space="preserve"> REF _Ref487467410 \h </w:instrText>
      </w:r>
      <w:r>
        <w:fldChar w:fldCharType="separate"/>
      </w:r>
      <w:r w:rsidR="00910E65">
        <w:t xml:space="preserve">Table </w:t>
      </w:r>
      <w:r w:rsidR="00910E65">
        <w:rPr>
          <w:noProof/>
        </w:rPr>
        <w:t>3</w:t>
      </w:r>
      <w:r w:rsidR="00910E65">
        <w:t>.</w:t>
      </w:r>
      <w:r w:rsidR="00910E65">
        <w:rPr>
          <w:noProof/>
        </w:rPr>
        <w:t>5</w:t>
      </w:r>
      <w:r>
        <w:fldChar w:fldCharType="end"/>
      </w:r>
      <w:r>
        <w:t xml:space="preserve"> and </w:t>
      </w:r>
      <w:r>
        <w:fldChar w:fldCharType="begin"/>
      </w:r>
      <w:r>
        <w:instrText xml:space="preserve"> REF _Ref487467389 \h </w:instrText>
      </w:r>
      <w:r>
        <w:fldChar w:fldCharType="separate"/>
      </w:r>
      <w:r w:rsidR="00910E65">
        <w:t xml:space="preserve">Figure </w:t>
      </w:r>
      <w:r w:rsidR="00910E65">
        <w:rPr>
          <w:noProof/>
        </w:rPr>
        <w:t>3</w:t>
      </w:r>
      <w:r w:rsidR="00910E65">
        <w:t>.</w:t>
      </w:r>
      <w:r w:rsidR="00910E65">
        <w:rPr>
          <w:noProof/>
        </w:rPr>
        <w:t>4</w:t>
      </w:r>
      <w:r>
        <w:fldChar w:fldCharType="end"/>
      </w:r>
      <w:r>
        <w:t>.</w:t>
      </w:r>
      <w:r w:rsidR="00A56F0E">
        <w:t xml:space="preserve"> </w:t>
      </w:r>
      <w:r w:rsidR="00BD0FE9">
        <w:t>F</w:t>
      </w:r>
      <w:r w:rsidR="00A56F0E">
        <w:t>urther analysis of the average length of locum days per episode confirmed these observ</w:t>
      </w:r>
      <w:r w:rsidR="00E2789C">
        <w:t xml:space="preserve">ations, with </w:t>
      </w:r>
      <w:proofErr w:type="spellStart"/>
      <w:r w:rsidR="00E2789C">
        <w:t>PhARI</w:t>
      </w:r>
      <w:r w:rsidR="00A56F0E">
        <w:t>A</w:t>
      </w:r>
      <w:proofErr w:type="spellEnd"/>
      <w:r w:rsidR="00A56F0E">
        <w:t xml:space="preserve"> 6 pharmacies requiring an average of 5.4 locum days, compared to 3.3 to 3.4 l</w:t>
      </w:r>
      <w:r w:rsidR="00BD0FE9">
        <w:t xml:space="preserve">ocum </w:t>
      </w:r>
      <w:r w:rsidR="00A56F0E">
        <w:t xml:space="preserve">days in </w:t>
      </w:r>
      <w:proofErr w:type="spellStart"/>
      <w:r w:rsidR="00A56F0E">
        <w:t>PhARIAs</w:t>
      </w:r>
      <w:proofErr w:type="spellEnd"/>
      <w:r w:rsidR="00A56F0E">
        <w:t xml:space="preserve"> 3 to 5. </w:t>
      </w:r>
      <w:proofErr w:type="spellStart"/>
      <w:r w:rsidR="00A56F0E">
        <w:t>PhARIA</w:t>
      </w:r>
      <w:proofErr w:type="spellEnd"/>
      <w:r w:rsidR="00A56F0E">
        <w:t xml:space="preserve"> 2 </w:t>
      </w:r>
      <w:r w:rsidR="006F31FE">
        <w:t>required</w:t>
      </w:r>
      <w:r w:rsidR="00A56F0E">
        <w:t xml:space="preserve"> the least locum days with an average of 2.6 days.</w:t>
      </w:r>
      <w:r w:rsidR="00BD0FE9">
        <w:rPr>
          <w:rStyle w:val="FootnoteReference"/>
        </w:rPr>
        <w:footnoteReference w:id="6"/>
      </w:r>
      <w:r w:rsidR="00A56F0E">
        <w:t xml:space="preserve"> </w:t>
      </w:r>
      <w:r w:rsidR="00BD0FE9">
        <w:t xml:space="preserve">See </w:t>
      </w:r>
      <w:r w:rsidR="00BD0FE9">
        <w:fldChar w:fldCharType="begin"/>
      </w:r>
      <w:r w:rsidR="00BD0FE9">
        <w:instrText xml:space="preserve"> REF _Ref487467410 \h </w:instrText>
      </w:r>
      <w:r w:rsidR="00BD0FE9">
        <w:fldChar w:fldCharType="separate"/>
      </w:r>
      <w:r w:rsidR="00910E65">
        <w:t xml:space="preserve">Table </w:t>
      </w:r>
      <w:r w:rsidR="00910E65">
        <w:rPr>
          <w:noProof/>
        </w:rPr>
        <w:t>3</w:t>
      </w:r>
      <w:r w:rsidR="00910E65">
        <w:t>.</w:t>
      </w:r>
      <w:r w:rsidR="00910E65">
        <w:rPr>
          <w:noProof/>
        </w:rPr>
        <w:t>5</w:t>
      </w:r>
      <w:r w:rsidR="00BD0FE9">
        <w:fldChar w:fldCharType="end"/>
      </w:r>
      <w:r w:rsidR="00BD0FE9">
        <w:t xml:space="preserve"> and </w:t>
      </w:r>
      <w:r w:rsidR="00BD0FE9">
        <w:fldChar w:fldCharType="begin"/>
      </w:r>
      <w:r w:rsidR="00BD0FE9">
        <w:instrText xml:space="preserve"> REF _Ref487467845 \h </w:instrText>
      </w:r>
      <w:r w:rsidR="00BD0FE9">
        <w:fldChar w:fldCharType="separate"/>
      </w:r>
      <w:r w:rsidR="00910E65">
        <w:t xml:space="preserve">Figure </w:t>
      </w:r>
      <w:r w:rsidR="00910E65">
        <w:rPr>
          <w:noProof/>
        </w:rPr>
        <w:t>3</w:t>
      </w:r>
      <w:r w:rsidR="00910E65">
        <w:t>.</w:t>
      </w:r>
      <w:r w:rsidR="00910E65">
        <w:rPr>
          <w:noProof/>
        </w:rPr>
        <w:t>5</w:t>
      </w:r>
      <w:r w:rsidR="00BD0FE9">
        <w:fldChar w:fldCharType="end"/>
      </w:r>
      <w:r w:rsidR="00BD0FE9">
        <w:t xml:space="preserve">. </w:t>
      </w:r>
    </w:p>
    <w:p w14:paraId="1BA44D83" w14:textId="033ADDA4" w:rsidR="00684DDF" w:rsidRPr="00DC1576" w:rsidRDefault="00DC1576" w:rsidP="00DC1576">
      <w:pPr>
        <w:pStyle w:val="Caption"/>
        <w:rPr>
          <w:rStyle w:val="Captionnotbold"/>
        </w:rPr>
      </w:pPr>
      <w:bookmarkStart w:id="55" w:name="_Ref487467410"/>
      <w:r>
        <w:lastRenderedPageBreak/>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3</w:t>
      </w:r>
      <w:r w:rsidR="00BC6E6C">
        <w:rPr>
          <w:noProof/>
        </w:rPr>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5</w:t>
      </w:r>
      <w:r w:rsidR="00BC6E6C">
        <w:rPr>
          <w:noProof/>
        </w:rPr>
        <w:fldChar w:fldCharType="end"/>
      </w:r>
      <w:bookmarkEnd w:id="55"/>
      <w:r>
        <w:t xml:space="preserve">: </w:t>
      </w:r>
      <w:r w:rsidRPr="00DC1576">
        <w:rPr>
          <w:rStyle w:val="Captionnotbold"/>
        </w:rPr>
        <w:t xml:space="preserve">ELS program episodes and locum days by </w:t>
      </w:r>
      <w:proofErr w:type="spellStart"/>
      <w:r w:rsidRPr="00DC1576">
        <w:rPr>
          <w:rStyle w:val="Captionnotbold"/>
        </w:rPr>
        <w:t>PhARIA</w:t>
      </w:r>
      <w:proofErr w:type="spellEnd"/>
      <w:r w:rsidR="00F069AD">
        <w:rPr>
          <w:rStyle w:val="Captionnotbold"/>
        </w:rPr>
        <w:t>, 2010</w:t>
      </w:r>
      <w:r w:rsidR="00B801F7">
        <w:rPr>
          <w:rStyle w:val="Captionnotbold"/>
        </w:rPr>
        <w:t>–</w:t>
      </w:r>
      <w:r w:rsidR="00F069AD">
        <w:rPr>
          <w:rStyle w:val="Captionnotbold"/>
        </w:rPr>
        <w:t>11 to 2015</w:t>
      </w:r>
      <w:r w:rsidR="00B801F7">
        <w:rPr>
          <w:rStyle w:val="Captionnotbold"/>
        </w:rPr>
        <w:t>–</w:t>
      </w:r>
      <w:r w:rsidR="00F069AD">
        <w:rPr>
          <w:rStyle w:val="Captionnotbold"/>
        </w:rPr>
        <w:t>16</w:t>
      </w:r>
    </w:p>
    <w:tbl>
      <w:tblPr>
        <w:tblStyle w:val="HMATable"/>
        <w:tblW w:w="5000" w:type="pct"/>
        <w:tblLook w:val="04E0" w:firstRow="1" w:lastRow="1" w:firstColumn="1" w:lastColumn="0" w:noHBand="0" w:noVBand="1"/>
        <w:tblCaption w:val="Table 3.5: ELS program episodes and locum days by PhARIA, 2010-11 to 2015-16"/>
        <w:tblDescription w:val="Table 3.5: ELS program episodes and locum days by PhARIA, 2010-11 to 2015-16"/>
      </w:tblPr>
      <w:tblGrid>
        <w:gridCol w:w="1054"/>
        <w:gridCol w:w="664"/>
        <w:gridCol w:w="1149"/>
        <w:gridCol w:w="844"/>
        <w:gridCol w:w="1255"/>
        <w:gridCol w:w="2068"/>
      </w:tblGrid>
      <w:tr w:rsidR="00DC1576" w:rsidRPr="00DC1576" w14:paraId="356FC9E4" w14:textId="77777777" w:rsidTr="0096004C">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100" w:firstRow="0" w:lastRow="0" w:firstColumn="1" w:lastColumn="0" w:oddVBand="0" w:evenVBand="0" w:oddHBand="0" w:evenHBand="0" w:firstRowFirstColumn="1" w:firstRowLastColumn="0" w:lastRowFirstColumn="0" w:lastRowLastColumn="0"/>
            <w:tcW w:w="749" w:type="pct"/>
            <w:noWrap/>
            <w:hideMark/>
          </w:tcPr>
          <w:p w14:paraId="093E5B55" w14:textId="4095B5FC" w:rsidR="00DC1576" w:rsidRPr="00DC1576" w:rsidRDefault="00DC1576" w:rsidP="0040349E">
            <w:pPr>
              <w:pStyle w:val="TableColumnHeading"/>
              <w:jc w:val="center"/>
            </w:pPr>
          </w:p>
        </w:tc>
        <w:tc>
          <w:tcPr>
            <w:tcW w:w="1289" w:type="pct"/>
            <w:gridSpan w:val="2"/>
            <w:noWrap/>
            <w:hideMark/>
          </w:tcPr>
          <w:p w14:paraId="38427CF5" w14:textId="77777777" w:rsidR="00DC1576" w:rsidRPr="00DC1576" w:rsidRDefault="00DC1576" w:rsidP="0040349E">
            <w:pPr>
              <w:pStyle w:val="TableColumnHeading"/>
              <w:jc w:val="center"/>
              <w:cnfStyle w:val="100000000000" w:firstRow="1" w:lastRow="0" w:firstColumn="0" w:lastColumn="0" w:oddVBand="0" w:evenVBand="0" w:oddHBand="0" w:evenHBand="0" w:firstRowFirstColumn="0" w:firstRowLastColumn="0" w:lastRowFirstColumn="0" w:lastRowLastColumn="0"/>
            </w:pPr>
            <w:r>
              <w:t>ELS episodes</w:t>
            </w:r>
          </w:p>
        </w:tc>
        <w:tc>
          <w:tcPr>
            <w:tcW w:w="1492" w:type="pct"/>
            <w:gridSpan w:val="2"/>
            <w:noWrap/>
            <w:hideMark/>
          </w:tcPr>
          <w:p w14:paraId="69C09BDE" w14:textId="77777777" w:rsidR="00DC1576" w:rsidRPr="00DC1576" w:rsidRDefault="00DC1576" w:rsidP="0040349E">
            <w:pPr>
              <w:pStyle w:val="TableColumnHeading"/>
              <w:jc w:val="center"/>
              <w:cnfStyle w:val="100000000000" w:firstRow="1" w:lastRow="0" w:firstColumn="0" w:lastColumn="0" w:oddVBand="0" w:evenVBand="0" w:oddHBand="0" w:evenHBand="0" w:firstRowFirstColumn="0" w:firstRowLastColumn="0" w:lastRowFirstColumn="0" w:lastRowLastColumn="0"/>
            </w:pPr>
            <w:r>
              <w:t>ELS locum days</w:t>
            </w:r>
          </w:p>
        </w:tc>
        <w:tc>
          <w:tcPr>
            <w:tcW w:w="1471" w:type="pct"/>
          </w:tcPr>
          <w:p w14:paraId="1D287DD3" w14:textId="25EA8167" w:rsidR="00DC1576" w:rsidRDefault="00DC1576" w:rsidP="0040349E">
            <w:pPr>
              <w:pStyle w:val="TableColumnHeading"/>
              <w:jc w:val="center"/>
              <w:cnfStyle w:val="100000000000" w:firstRow="1" w:lastRow="0" w:firstColumn="0" w:lastColumn="0" w:oddVBand="0" w:evenVBand="0" w:oddHBand="0" w:evenHBand="0" w:firstRowFirstColumn="0" w:firstRowLastColumn="0" w:lastRowFirstColumn="0" w:lastRowLastColumn="0"/>
            </w:pPr>
          </w:p>
        </w:tc>
      </w:tr>
      <w:tr w:rsidR="00DC1576" w:rsidRPr="00DC1576" w14:paraId="5369C7F7" w14:textId="77777777" w:rsidTr="00EC343A">
        <w:trPr>
          <w:trHeight w:val="290"/>
        </w:trPr>
        <w:tc>
          <w:tcPr>
            <w:cnfStyle w:val="001000000000" w:firstRow="0" w:lastRow="0" w:firstColumn="1" w:lastColumn="0" w:oddVBand="0" w:evenVBand="0" w:oddHBand="0" w:evenHBand="0" w:firstRowFirstColumn="0" w:firstRowLastColumn="0" w:lastRowFirstColumn="0" w:lastRowLastColumn="0"/>
            <w:tcW w:w="749" w:type="pct"/>
            <w:shd w:val="clear" w:color="auto" w:fill="BEBEBE" w:themeFill="accent5"/>
            <w:noWrap/>
          </w:tcPr>
          <w:p w14:paraId="1CA0F92F" w14:textId="4A734882" w:rsidR="00DC1576" w:rsidRPr="00DC1576" w:rsidRDefault="00EC343A" w:rsidP="0040349E">
            <w:pPr>
              <w:pStyle w:val="TableColumnHeading"/>
              <w:jc w:val="center"/>
            </w:pPr>
            <w:proofErr w:type="spellStart"/>
            <w:r>
              <w:t>PhARIA</w:t>
            </w:r>
            <w:proofErr w:type="spellEnd"/>
          </w:p>
        </w:tc>
        <w:tc>
          <w:tcPr>
            <w:tcW w:w="472" w:type="pct"/>
            <w:shd w:val="clear" w:color="auto" w:fill="BEBEBE" w:themeFill="accent5"/>
            <w:noWrap/>
          </w:tcPr>
          <w:p w14:paraId="6684533E" w14:textId="77777777" w:rsidR="00DC1576" w:rsidRDefault="00DC1576" w:rsidP="0040349E">
            <w:pPr>
              <w:pStyle w:val="TableColumnHeading"/>
              <w:jc w:val="center"/>
              <w:cnfStyle w:val="000000000000" w:firstRow="0" w:lastRow="0" w:firstColumn="0" w:lastColumn="0" w:oddVBand="0" w:evenVBand="0" w:oddHBand="0" w:evenHBand="0" w:firstRowFirstColumn="0" w:firstRowLastColumn="0" w:lastRowFirstColumn="0" w:lastRowLastColumn="0"/>
            </w:pPr>
            <w:r>
              <w:t>n</w:t>
            </w:r>
          </w:p>
        </w:tc>
        <w:tc>
          <w:tcPr>
            <w:tcW w:w="817" w:type="pct"/>
            <w:shd w:val="clear" w:color="auto" w:fill="BEBEBE" w:themeFill="accent5"/>
            <w:noWrap/>
          </w:tcPr>
          <w:p w14:paraId="7D7A6330" w14:textId="77777777" w:rsidR="00DC1576" w:rsidRPr="00DC1576" w:rsidRDefault="00DC1576" w:rsidP="0040349E">
            <w:pPr>
              <w:pStyle w:val="TableColumnHeading"/>
              <w:jc w:val="center"/>
              <w:cnfStyle w:val="000000000000" w:firstRow="0" w:lastRow="0" w:firstColumn="0" w:lastColumn="0" w:oddVBand="0" w:evenVBand="0" w:oddHBand="0" w:evenHBand="0" w:firstRowFirstColumn="0" w:firstRowLastColumn="0" w:lastRowFirstColumn="0" w:lastRowLastColumn="0"/>
            </w:pPr>
            <w:r>
              <w:t>%</w:t>
            </w:r>
          </w:p>
        </w:tc>
        <w:tc>
          <w:tcPr>
            <w:tcW w:w="600" w:type="pct"/>
            <w:shd w:val="clear" w:color="auto" w:fill="BEBEBE" w:themeFill="accent5"/>
            <w:noWrap/>
          </w:tcPr>
          <w:p w14:paraId="5B3C1754" w14:textId="77777777" w:rsidR="00DC1576" w:rsidRPr="00DC1576" w:rsidRDefault="00DC1576" w:rsidP="0040349E">
            <w:pPr>
              <w:pStyle w:val="TableColumnHeading"/>
              <w:jc w:val="center"/>
              <w:cnfStyle w:val="000000000000" w:firstRow="0" w:lastRow="0" w:firstColumn="0" w:lastColumn="0" w:oddVBand="0" w:evenVBand="0" w:oddHBand="0" w:evenHBand="0" w:firstRowFirstColumn="0" w:firstRowLastColumn="0" w:lastRowFirstColumn="0" w:lastRowLastColumn="0"/>
            </w:pPr>
            <w:r>
              <w:t>n</w:t>
            </w:r>
          </w:p>
        </w:tc>
        <w:tc>
          <w:tcPr>
            <w:tcW w:w="892" w:type="pct"/>
            <w:shd w:val="clear" w:color="auto" w:fill="BEBEBE" w:themeFill="accent5"/>
            <w:noWrap/>
          </w:tcPr>
          <w:p w14:paraId="2B57EB20" w14:textId="77777777" w:rsidR="00DC1576" w:rsidRPr="00DC1576" w:rsidRDefault="00DC1576" w:rsidP="0040349E">
            <w:pPr>
              <w:pStyle w:val="TableColumnHeading"/>
              <w:jc w:val="center"/>
              <w:cnfStyle w:val="000000000000" w:firstRow="0" w:lastRow="0" w:firstColumn="0" w:lastColumn="0" w:oddVBand="0" w:evenVBand="0" w:oddHBand="0" w:evenHBand="0" w:firstRowFirstColumn="0" w:firstRowLastColumn="0" w:lastRowFirstColumn="0" w:lastRowLastColumn="0"/>
            </w:pPr>
            <w:r>
              <w:t>%</w:t>
            </w:r>
          </w:p>
        </w:tc>
        <w:tc>
          <w:tcPr>
            <w:tcW w:w="1471" w:type="pct"/>
            <w:shd w:val="clear" w:color="auto" w:fill="BEBEBE" w:themeFill="accent5"/>
            <w:vAlign w:val="bottom"/>
          </w:tcPr>
          <w:p w14:paraId="66E3FCE5" w14:textId="3073078A" w:rsidR="00DC1576" w:rsidRPr="00DC1576" w:rsidRDefault="00EC343A" w:rsidP="00EC343A">
            <w:pPr>
              <w:pStyle w:val="TableColumnHeading"/>
              <w:jc w:val="center"/>
              <w:cnfStyle w:val="000000000000" w:firstRow="0" w:lastRow="0" w:firstColumn="0" w:lastColumn="0" w:oddVBand="0" w:evenVBand="0" w:oddHBand="0" w:evenHBand="0" w:firstRowFirstColumn="0" w:firstRowLastColumn="0" w:lastRowFirstColumn="0" w:lastRowLastColumn="0"/>
            </w:pPr>
            <w:r>
              <w:t>Avg locum days</w:t>
            </w:r>
          </w:p>
        </w:tc>
      </w:tr>
      <w:tr w:rsidR="00DC1576" w:rsidRPr="00DC1576" w14:paraId="6786F216" w14:textId="77777777" w:rsidTr="00DC1576">
        <w:trPr>
          <w:trHeight w:val="290"/>
        </w:trPr>
        <w:tc>
          <w:tcPr>
            <w:cnfStyle w:val="001000000000" w:firstRow="0" w:lastRow="0" w:firstColumn="1" w:lastColumn="0" w:oddVBand="0" w:evenVBand="0" w:oddHBand="0" w:evenHBand="0" w:firstRowFirstColumn="0" w:firstRowLastColumn="0" w:lastRowFirstColumn="0" w:lastRowLastColumn="0"/>
            <w:tcW w:w="749" w:type="pct"/>
            <w:noWrap/>
            <w:hideMark/>
          </w:tcPr>
          <w:p w14:paraId="1C29225A" w14:textId="77777777" w:rsidR="00DC1576" w:rsidRPr="00DC1576" w:rsidRDefault="00DC1576" w:rsidP="0040349E">
            <w:pPr>
              <w:pStyle w:val="TableCopy"/>
              <w:keepNext/>
              <w:jc w:val="center"/>
            </w:pPr>
            <w:r w:rsidRPr="00DC1576">
              <w:t>1</w:t>
            </w:r>
          </w:p>
        </w:tc>
        <w:tc>
          <w:tcPr>
            <w:tcW w:w="472" w:type="pct"/>
            <w:noWrap/>
            <w:hideMark/>
          </w:tcPr>
          <w:p w14:paraId="7117A571"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1</w:t>
            </w:r>
          </w:p>
        </w:tc>
        <w:tc>
          <w:tcPr>
            <w:tcW w:w="817" w:type="pct"/>
            <w:noWrap/>
            <w:hideMark/>
          </w:tcPr>
          <w:p w14:paraId="3332DC95"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0.</w:t>
            </w:r>
            <w:r>
              <w:t>4</w:t>
            </w:r>
            <w:r w:rsidRPr="00DC1576">
              <w:t>%</w:t>
            </w:r>
          </w:p>
        </w:tc>
        <w:tc>
          <w:tcPr>
            <w:tcW w:w="600" w:type="pct"/>
            <w:noWrap/>
            <w:hideMark/>
          </w:tcPr>
          <w:p w14:paraId="414515C6"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4</w:t>
            </w:r>
          </w:p>
        </w:tc>
        <w:tc>
          <w:tcPr>
            <w:tcW w:w="892" w:type="pct"/>
            <w:noWrap/>
            <w:hideMark/>
          </w:tcPr>
          <w:p w14:paraId="12611803"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0.</w:t>
            </w:r>
            <w:r w:rsidR="0040349E">
              <w:t>4</w:t>
            </w:r>
            <w:r w:rsidRPr="00DC1576">
              <w:t>%</w:t>
            </w:r>
          </w:p>
        </w:tc>
        <w:tc>
          <w:tcPr>
            <w:tcW w:w="1471" w:type="pct"/>
            <w:vAlign w:val="bottom"/>
          </w:tcPr>
          <w:p w14:paraId="31E2DEB7"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n/a</w:t>
            </w:r>
            <w:r>
              <w:t>*</w:t>
            </w:r>
          </w:p>
        </w:tc>
      </w:tr>
      <w:tr w:rsidR="00DC1576" w:rsidRPr="00DC1576" w14:paraId="59A5E136" w14:textId="77777777" w:rsidTr="00DC1576">
        <w:trPr>
          <w:trHeight w:val="290"/>
        </w:trPr>
        <w:tc>
          <w:tcPr>
            <w:cnfStyle w:val="001000000000" w:firstRow="0" w:lastRow="0" w:firstColumn="1" w:lastColumn="0" w:oddVBand="0" w:evenVBand="0" w:oddHBand="0" w:evenHBand="0" w:firstRowFirstColumn="0" w:firstRowLastColumn="0" w:lastRowFirstColumn="0" w:lastRowLastColumn="0"/>
            <w:tcW w:w="749" w:type="pct"/>
            <w:noWrap/>
            <w:hideMark/>
          </w:tcPr>
          <w:p w14:paraId="3F022D81" w14:textId="77777777" w:rsidR="00DC1576" w:rsidRPr="00DC1576" w:rsidRDefault="00DC1576" w:rsidP="0040349E">
            <w:pPr>
              <w:pStyle w:val="TableCopy"/>
              <w:keepNext/>
              <w:jc w:val="center"/>
            </w:pPr>
            <w:r w:rsidRPr="00DC1576">
              <w:t>2</w:t>
            </w:r>
          </w:p>
        </w:tc>
        <w:tc>
          <w:tcPr>
            <w:tcW w:w="472" w:type="pct"/>
            <w:noWrap/>
            <w:hideMark/>
          </w:tcPr>
          <w:p w14:paraId="51987CD6"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16</w:t>
            </w:r>
          </w:p>
        </w:tc>
        <w:tc>
          <w:tcPr>
            <w:tcW w:w="817" w:type="pct"/>
            <w:noWrap/>
            <w:hideMark/>
          </w:tcPr>
          <w:p w14:paraId="61FA08D0"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5.</w:t>
            </w:r>
            <w:r>
              <w:t>9</w:t>
            </w:r>
            <w:r w:rsidRPr="00DC1576">
              <w:t>%</w:t>
            </w:r>
          </w:p>
        </w:tc>
        <w:tc>
          <w:tcPr>
            <w:tcW w:w="600" w:type="pct"/>
            <w:noWrap/>
            <w:hideMark/>
          </w:tcPr>
          <w:p w14:paraId="5031030E"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42</w:t>
            </w:r>
          </w:p>
        </w:tc>
        <w:tc>
          <w:tcPr>
            <w:tcW w:w="892" w:type="pct"/>
            <w:noWrap/>
            <w:hideMark/>
          </w:tcPr>
          <w:p w14:paraId="034F14B8"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4.</w:t>
            </w:r>
            <w:r w:rsidR="0040349E">
              <w:t>1</w:t>
            </w:r>
            <w:r w:rsidRPr="00DC1576">
              <w:t>%</w:t>
            </w:r>
          </w:p>
        </w:tc>
        <w:tc>
          <w:tcPr>
            <w:tcW w:w="1471" w:type="pct"/>
            <w:vAlign w:val="bottom"/>
          </w:tcPr>
          <w:p w14:paraId="0BDA8826"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2.6</w:t>
            </w:r>
          </w:p>
        </w:tc>
      </w:tr>
      <w:tr w:rsidR="00DC1576" w:rsidRPr="00DC1576" w14:paraId="58894809" w14:textId="77777777" w:rsidTr="00DC1576">
        <w:trPr>
          <w:trHeight w:val="290"/>
        </w:trPr>
        <w:tc>
          <w:tcPr>
            <w:cnfStyle w:val="001000000000" w:firstRow="0" w:lastRow="0" w:firstColumn="1" w:lastColumn="0" w:oddVBand="0" w:evenVBand="0" w:oddHBand="0" w:evenHBand="0" w:firstRowFirstColumn="0" w:firstRowLastColumn="0" w:lastRowFirstColumn="0" w:lastRowLastColumn="0"/>
            <w:tcW w:w="749" w:type="pct"/>
            <w:noWrap/>
            <w:hideMark/>
          </w:tcPr>
          <w:p w14:paraId="4BBDC96C" w14:textId="77777777" w:rsidR="00DC1576" w:rsidRPr="00DC1576" w:rsidRDefault="00DC1576" w:rsidP="0040349E">
            <w:pPr>
              <w:pStyle w:val="TableCopy"/>
              <w:keepNext/>
              <w:jc w:val="center"/>
            </w:pPr>
            <w:r w:rsidRPr="00DC1576">
              <w:t>3</w:t>
            </w:r>
          </w:p>
        </w:tc>
        <w:tc>
          <w:tcPr>
            <w:tcW w:w="472" w:type="pct"/>
            <w:noWrap/>
            <w:hideMark/>
          </w:tcPr>
          <w:p w14:paraId="4AE5059B"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66</w:t>
            </w:r>
          </w:p>
        </w:tc>
        <w:tc>
          <w:tcPr>
            <w:tcW w:w="817" w:type="pct"/>
            <w:noWrap/>
            <w:hideMark/>
          </w:tcPr>
          <w:p w14:paraId="4F14EF30"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24.</w:t>
            </w:r>
            <w:r>
              <w:t>3</w:t>
            </w:r>
            <w:r w:rsidRPr="00DC1576">
              <w:t>%</w:t>
            </w:r>
          </w:p>
        </w:tc>
        <w:tc>
          <w:tcPr>
            <w:tcW w:w="600" w:type="pct"/>
            <w:noWrap/>
            <w:hideMark/>
          </w:tcPr>
          <w:p w14:paraId="7128E325"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224</w:t>
            </w:r>
          </w:p>
        </w:tc>
        <w:tc>
          <w:tcPr>
            <w:tcW w:w="892" w:type="pct"/>
            <w:noWrap/>
            <w:hideMark/>
          </w:tcPr>
          <w:p w14:paraId="489EF30F"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21.</w:t>
            </w:r>
            <w:r w:rsidR="0040349E">
              <w:t>8</w:t>
            </w:r>
            <w:r w:rsidRPr="00DC1576">
              <w:t>%</w:t>
            </w:r>
          </w:p>
        </w:tc>
        <w:tc>
          <w:tcPr>
            <w:tcW w:w="1471" w:type="pct"/>
            <w:vAlign w:val="bottom"/>
          </w:tcPr>
          <w:p w14:paraId="14DF6097"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3.4</w:t>
            </w:r>
          </w:p>
        </w:tc>
      </w:tr>
      <w:tr w:rsidR="00DC1576" w:rsidRPr="00DC1576" w14:paraId="58F25A27" w14:textId="77777777" w:rsidTr="00DC1576">
        <w:trPr>
          <w:trHeight w:val="290"/>
        </w:trPr>
        <w:tc>
          <w:tcPr>
            <w:cnfStyle w:val="001000000000" w:firstRow="0" w:lastRow="0" w:firstColumn="1" w:lastColumn="0" w:oddVBand="0" w:evenVBand="0" w:oddHBand="0" w:evenHBand="0" w:firstRowFirstColumn="0" w:firstRowLastColumn="0" w:lastRowFirstColumn="0" w:lastRowLastColumn="0"/>
            <w:tcW w:w="749" w:type="pct"/>
            <w:noWrap/>
            <w:hideMark/>
          </w:tcPr>
          <w:p w14:paraId="259D708A" w14:textId="77777777" w:rsidR="00DC1576" w:rsidRPr="00DC1576" w:rsidRDefault="00DC1576" w:rsidP="0040349E">
            <w:pPr>
              <w:pStyle w:val="TableCopy"/>
              <w:keepNext/>
              <w:jc w:val="center"/>
            </w:pPr>
            <w:r w:rsidRPr="00DC1576">
              <w:t>4</w:t>
            </w:r>
          </w:p>
        </w:tc>
        <w:tc>
          <w:tcPr>
            <w:tcW w:w="472" w:type="pct"/>
            <w:noWrap/>
            <w:hideMark/>
          </w:tcPr>
          <w:p w14:paraId="23F32DDC"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55</w:t>
            </w:r>
          </w:p>
        </w:tc>
        <w:tc>
          <w:tcPr>
            <w:tcW w:w="817" w:type="pct"/>
            <w:noWrap/>
            <w:hideMark/>
          </w:tcPr>
          <w:p w14:paraId="43330E97"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20.2%</w:t>
            </w:r>
          </w:p>
        </w:tc>
        <w:tc>
          <w:tcPr>
            <w:tcW w:w="600" w:type="pct"/>
            <w:noWrap/>
            <w:hideMark/>
          </w:tcPr>
          <w:p w14:paraId="18C37D24"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180</w:t>
            </w:r>
          </w:p>
        </w:tc>
        <w:tc>
          <w:tcPr>
            <w:tcW w:w="892" w:type="pct"/>
            <w:noWrap/>
            <w:hideMark/>
          </w:tcPr>
          <w:p w14:paraId="1EA49018" w14:textId="77777777" w:rsidR="00DC1576" w:rsidRPr="00DC1576" w:rsidRDefault="0040349E"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t>17.5</w:t>
            </w:r>
            <w:r w:rsidR="00DC1576" w:rsidRPr="00DC1576">
              <w:t>%</w:t>
            </w:r>
          </w:p>
        </w:tc>
        <w:tc>
          <w:tcPr>
            <w:tcW w:w="1471" w:type="pct"/>
            <w:vAlign w:val="bottom"/>
          </w:tcPr>
          <w:p w14:paraId="2A389D2C"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3.3</w:t>
            </w:r>
          </w:p>
        </w:tc>
      </w:tr>
      <w:tr w:rsidR="00DC1576" w:rsidRPr="00DC1576" w14:paraId="5788DB3E" w14:textId="77777777" w:rsidTr="00DC1576">
        <w:trPr>
          <w:trHeight w:val="290"/>
        </w:trPr>
        <w:tc>
          <w:tcPr>
            <w:cnfStyle w:val="001000000000" w:firstRow="0" w:lastRow="0" w:firstColumn="1" w:lastColumn="0" w:oddVBand="0" w:evenVBand="0" w:oddHBand="0" w:evenHBand="0" w:firstRowFirstColumn="0" w:firstRowLastColumn="0" w:lastRowFirstColumn="0" w:lastRowLastColumn="0"/>
            <w:tcW w:w="749" w:type="pct"/>
            <w:noWrap/>
            <w:hideMark/>
          </w:tcPr>
          <w:p w14:paraId="64797AB5" w14:textId="77777777" w:rsidR="00DC1576" w:rsidRPr="00DC1576" w:rsidRDefault="00DC1576" w:rsidP="0040349E">
            <w:pPr>
              <w:pStyle w:val="TableCopy"/>
              <w:keepNext/>
              <w:jc w:val="center"/>
            </w:pPr>
            <w:r w:rsidRPr="00DC1576">
              <w:t>5</w:t>
            </w:r>
          </w:p>
        </w:tc>
        <w:tc>
          <w:tcPr>
            <w:tcW w:w="472" w:type="pct"/>
            <w:noWrap/>
            <w:hideMark/>
          </w:tcPr>
          <w:p w14:paraId="23656B37"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70</w:t>
            </w:r>
          </w:p>
        </w:tc>
        <w:tc>
          <w:tcPr>
            <w:tcW w:w="817" w:type="pct"/>
            <w:noWrap/>
            <w:hideMark/>
          </w:tcPr>
          <w:p w14:paraId="04CEE152"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t>25.7</w:t>
            </w:r>
            <w:r w:rsidRPr="00DC1576">
              <w:t>%</w:t>
            </w:r>
          </w:p>
        </w:tc>
        <w:tc>
          <w:tcPr>
            <w:tcW w:w="600" w:type="pct"/>
            <w:noWrap/>
            <w:hideMark/>
          </w:tcPr>
          <w:p w14:paraId="0FA6AD15"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234</w:t>
            </w:r>
          </w:p>
        </w:tc>
        <w:tc>
          <w:tcPr>
            <w:tcW w:w="892" w:type="pct"/>
            <w:noWrap/>
            <w:hideMark/>
          </w:tcPr>
          <w:p w14:paraId="084AAB24"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22.</w:t>
            </w:r>
            <w:r w:rsidR="0040349E">
              <w:t>8</w:t>
            </w:r>
            <w:r w:rsidRPr="00DC1576">
              <w:t>%</w:t>
            </w:r>
          </w:p>
        </w:tc>
        <w:tc>
          <w:tcPr>
            <w:tcW w:w="1471" w:type="pct"/>
            <w:vAlign w:val="bottom"/>
          </w:tcPr>
          <w:p w14:paraId="33943382"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3.3</w:t>
            </w:r>
          </w:p>
        </w:tc>
      </w:tr>
      <w:tr w:rsidR="00DC1576" w:rsidRPr="00DC1576" w14:paraId="4DA030CB" w14:textId="77777777" w:rsidTr="00DC1576">
        <w:trPr>
          <w:trHeight w:val="290"/>
        </w:trPr>
        <w:tc>
          <w:tcPr>
            <w:cnfStyle w:val="001000000000" w:firstRow="0" w:lastRow="0" w:firstColumn="1" w:lastColumn="0" w:oddVBand="0" w:evenVBand="0" w:oddHBand="0" w:evenHBand="0" w:firstRowFirstColumn="0" w:firstRowLastColumn="0" w:lastRowFirstColumn="0" w:lastRowLastColumn="0"/>
            <w:tcW w:w="749" w:type="pct"/>
            <w:noWrap/>
            <w:hideMark/>
          </w:tcPr>
          <w:p w14:paraId="384FAB45" w14:textId="77777777" w:rsidR="00DC1576" w:rsidRPr="00DC1576" w:rsidRDefault="00DC1576" w:rsidP="0040349E">
            <w:pPr>
              <w:pStyle w:val="TableCopy"/>
              <w:keepNext/>
              <w:jc w:val="center"/>
            </w:pPr>
            <w:r w:rsidRPr="00DC1576">
              <w:t>6</w:t>
            </w:r>
          </w:p>
        </w:tc>
        <w:tc>
          <w:tcPr>
            <w:tcW w:w="472" w:type="pct"/>
            <w:noWrap/>
            <w:hideMark/>
          </w:tcPr>
          <w:p w14:paraId="636A566C"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64</w:t>
            </w:r>
          </w:p>
        </w:tc>
        <w:tc>
          <w:tcPr>
            <w:tcW w:w="817" w:type="pct"/>
            <w:noWrap/>
            <w:hideMark/>
          </w:tcPr>
          <w:p w14:paraId="01825DB5"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t>23.5</w:t>
            </w:r>
            <w:r w:rsidRPr="00DC1576">
              <w:t>%</w:t>
            </w:r>
          </w:p>
        </w:tc>
        <w:tc>
          <w:tcPr>
            <w:tcW w:w="600" w:type="pct"/>
            <w:noWrap/>
            <w:hideMark/>
          </w:tcPr>
          <w:p w14:paraId="01518E86"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344</w:t>
            </w:r>
          </w:p>
        </w:tc>
        <w:tc>
          <w:tcPr>
            <w:tcW w:w="892" w:type="pct"/>
            <w:noWrap/>
            <w:hideMark/>
          </w:tcPr>
          <w:p w14:paraId="30D54CC6"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33.</w:t>
            </w:r>
            <w:r w:rsidR="0040349E">
              <w:t>5</w:t>
            </w:r>
            <w:r w:rsidRPr="00DC1576">
              <w:t>%</w:t>
            </w:r>
          </w:p>
        </w:tc>
        <w:tc>
          <w:tcPr>
            <w:tcW w:w="1471" w:type="pct"/>
            <w:vAlign w:val="bottom"/>
          </w:tcPr>
          <w:p w14:paraId="01EF1FB6"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5.4</w:t>
            </w:r>
          </w:p>
        </w:tc>
      </w:tr>
      <w:tr w:rsidR="00DC1576" w:rsidRPr="00DC1576" w14:paraId="0F124550" w14:textId="77777777" w:rsidTr="00DC1576">
        <w:trPr>
          <w:cnfStyle w:val="010000000000" w:firstRow="0" w:lastRow="1"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49" w:type="pct"/>
            <w:noWrap/>
            <w:hideMark/>
          </w:tcPr>
          <w:p w14:paraId="157CA944" w14:textId="77777777" w:rsidR="00DC1576" w:rsidRPr="00DC1576" w:rsidRDefault="00DC1576" w:rsidP="0040349E">
            <w:pPr>
              <w:pStyle w:val="TableCopy"/>
              <w:keepNext/>
              <w:jc w:val="center"/>
            </w:pPr>
            <w:r w:rsidRPr="00DC1576">
              <w:t>Total</w:t>
            </w:r>
          </w:p>
        </w:tc>
        <w:tc>
          <w:tcPr>
            <w:tcW w:w="472" w:type="pct"/>
            <w:noWrap/>
            <w:hideMark/>
          </w:tcPr>
          <w:p w14:paraId="6A764967" w14:textId="77777777" w:rsidR="00DC1576" w:rsidRPr="00DC1576" w:rsidRDefault="00DC1576" w:rsidP="0040349E">
            <w:pPr>
              <w:pStyle w:val="TableCopy"/>
              <w:keepNext/>
              <w:jc w:val="center"/>
              <w:cnfStyle w:val="010000000000" w:firstRow="0" w:lastRow="1" w:firstColumn="0" w:lastColumn="0" w:oddVBand="0" w:evenVBand="0" w:oddHBand="0" w:evenHBand="0" w:firstRowFirstColumn="0" w:firstRowLastColumn="0" w:lastRowFirstColumn="0" w:lastRowLastColumn="0"/>
            </w:pPr>
            <w:r w:rsidRPr="00DC1576">
              <w:t>272</w:t>
            </w:r>
          </w:p>
        </w:tc>
        <w:tc>
          <w:tcPr>
            <w:tcW w:w="817" w:type="pct"/>
            <w:noWrap/>
            <w:hideMark/>
          </w:tcPr>
          <w:p w14:paraId="56EADAFE" w14:textId="77777777" w:rsidR="00DC1576" w:rsidRPr="00DC1576" w:rsidRDefault="00DC1576" w:rsidP="0040349E">
            <w:pPr>
              <w:pStyle w:val="TableCopy"/>
              <w:keepNext/>
              <w:jc w:val="center"/>
              <w:cnfStyle w:val="010000000000" w:firstRow="0" w:lastRow="1" w:firstColumn="0" w:lastColumn="0" w:oddVBand="0" w:evenVBand="0" w:oddHBand="0" w:evenHBand="0" w:firstRowFirstColumn="0" w:firstRowLastColumn="0" w:lastRowFirstColumn="0" w:lastRowLastColumn="0"/>
            </w:pPr>
            <w:r>
              <w:t>100.</w:t>
            </w:r>
            <w:r w:rsidRPr="00DC1576">
              <w:t>0%</w:t>
            </w:r>
          </w:p>
        </w:tc>
        <w:tc>
          <w:tcPr>
            <w:tcW w:w="600" w:type="pct"/>
            <w:noWrap/>
            <w:hideMark/>
          </w:tcPr>
          <w:p w14:paraId="0AE035AB" w14:textId="272D65F7" w:rsidR="00DC1576" w:rsidRPr="00DC1576" w:rsidRDefault="00DC1576" w:rsidP="0040349E">
            <w:pPr>
              <w:pStyle w:val="TableCopy"/>
              <w:keepNext/>
              <w:jc w:val="center"/>
              <w:cnfStyle w:val="010000000000" w:firstRow="0" w:lastRow="1" w:firstColumn="0" w:lastColumn="0" w:oddVBand="0" w:evenVBand="0" w:oddHBand="0" w:evenHBand="0" w:firstRowFirstColumn="0" w:firstRowLastColumn="0" w:lastRowFirstColumn="0" w:lastRowLastColumn="0"/>
            </w:pPr>
            <w:r w:rsidRPr="00DC1576">
              <w:t>1</w:t>
            </w:r>
            <w:r>
              <w:t>,</w:t>
            </w:r>
            <w:r w:rsidRPr="00DC1576">
              <w:t>02</w:t>
            </w:r>
            <w:r w:rsidR="002A38D4">
              <w:t>6</w:t>
            </w:r>
          </w:p>
        </w:tc>
        <w:tc>
          <w:tcPr>
            <w:tcW w:w="892" w:type="pct"/>
            <w:noWrap/>
            <w:hideMark/>
          </w:tcPr>
          <w:p w14:paraId="56778A1B" w14:textId="77777777" w:rsidR="00DC1576" w:rsidRPr="00DC1576" w:rsidRDefault="00DC1576" w:rsidP="0040349E">
            <w:pPr>
              <w:pStyle w:val="TableCopy"/>
              <w:keepNext/>
              <w:jc w:val="center"/>
              <w:cnfStyle w:val="010000000000" w:firstRow="0" w:lastRow="1" w:firstColumn="0" w:lastColumn="0" w:oddVBand="0" w:evenVBand="0" w:oddHBand="0" w:evenHBand="0" w:firstRowFirstColumn="0" w:firstRowLastColumn="0" w:lastRowFirstColumn="0" w:lastRowLastColumn="0"/>
            </w:pPr>
            <w:r w:rsidRPr="00DC1576">
              <w:t>100.0%</w:t>
            </w:r>
          </w:p>
        </w:tc>
        <w:tc>
          <w:tcPr>
            <w:tcW w:w="1471" w:type="pct"/>
            <w:vAlign w:val="bottom"/>
          </w:tcPr>
          <w:p w14:paraId="42FA155C" w14:textId="13AD74A6" w:rsidR="00DC1576" w:rsidRPr="00DC1576" w:rsidRDefault="00DC1576" w:rsidP="0040349E">
            <w:pPr>
              <w:pStyle w:val="TableCopy"/>
              <w:keepNext/>
              <w:jc w:val="center"/>
              <w:cnfStyle w:val="010000000000" w:firstRow="0" w:lastRow="1" w:firstColumn="0" w:lastColumn="0" w:oddVBand="0" w:evenVBand="0" w:oddHBand="0" w:evenHBand="0" w:firstRowFirstColumn="0" w:firstRowLastColumn="0" w:lastRowFirstColumn="0" w:lastRowLastColumn="0"/>
            </w:pPr>
            <w:r w:rsidRPr="00DC1576">
              <w:t>3.</w:t>
            </w:r>
            <w:r w:rsidR="002A38D4">
              <w:t>6</w:t>
            </w:r>
          </w:p>
        </w:tc>
      </w:tr>
    </w:tbl>
    <w:p w14:paraId="4AF9CE33" w14:textId="77777777" w:rsidR="00684DDF" w:rsidRPr="00A9651E" w:rsidRDefault="00DC1576" w:rsidP="00DC1576">
      <w:pPr>
        <w:pStyle w:val="TableNotes"/>
      </w:pPr>
      <w:r w:rsidRPr="00A9651E">
        <w:t xml:space="preserve">*As only one ELS request was made from </w:t>
      </w:r>
      <w:proofErr w:type="spellStart"/>
      <w:r w:rsidRPr="00A9651E">
        <w:t>PhARIA</w:t>
      </w:r>
      <w:proofErr w:type="spellEnd"/>
      <w:r w:rsidRPr="00A9651E">
        <w:t xml:space="preserve"> 1, the average was not calculated. </w:t>
      </w:r>
    </w:p>
    <w:p w14:paraId="7C424BBE" w14:textId="2BC12FC5" w:rsidR="00DC1576" w:rsidRPr="00DC1576" w:rsidRDefault="00DC1576" w:rsidP="00DC1576">
      <w:pPr>
        <w:pStyle w:val="Caption"/>
        <w:rPr>
          <w:rStyle w:val="Captionnotbold"/>
        </w:rPr>
      </w:pPr>
      <w:bookmarkStart w:id="56" w:name="_Ref487467389"/>
      <w:r>
        <w:t xml:space="preserve">Figure </w:t>
      </w:r>
      <w:r w:rsidR="00BC6E6C">
        <w:rPr>
          <w:noProof/>
        </w:rPr>
        <w:fldChar w:fldCharType="begin"/>
      </w:r>
      <w:r w:rsidR="00BC6E6C">
        <w:rPr>
          <w:noProof/>
        </w:rPr>
        <w:instrText xml:space="preserve"> STYLEREF 1 \s </w:instrText>
      </w:r>
      <w:r w:rsidR="00BC6E6C">
        <w:rPr>
          <w:noProof/>
        </w:rPr>
        <w:fldChar w:fldCharType="separate"/>
      </w:r>
      <w:r w:rsidR="00910E65">
        <w:rPr>
          <w:noProof/>
        </w:rPr>
        <w:t>3</w:t>
      </w:r>
      <w:r w:rsidR="00BC6E6C">
        <w:rPr>
          <w:noProof/>
        </w:rPr>
        <w:fldChar w:fldCharType="end"/>
      </w:r>
      <w:r w:rsidR="00181D4C">
        <w:t>.</w:t>
      </w:r>
      <w:r w:rsidR="00BC6E6C">
        <w:rPr>
          <w:noProof/>
        </w:rPr>
        <w:fldChar w:fldCharType="begin"/>
      </w:r>
      <w:r w:rsidR="00BC6E6C">
        <w:rPr>
          <w:noProof/>
        </w:rPr>
        <w:instrText xml:space="preserve"> SEQ Figure \* ARABIC \s 1 </w:instrText>
      </w:r>
      <w:r w:rsidR="00BC6E6C">
        <w:rPr>
          <w:noProof/>
        </w:rPr>
        <w:fldChar w:fldCharType="separate"/>
      </w:r>
      <w:r w:rsidR="00910E65">
        <w:rPr>
          <w:noProof/>
        </w:rPr>
        <w:t>4</w:t>
      </w:r>
      <w:r w:rsidR="00BC6E6C">
        <w:rPr>
          <w:noProof/>
        </w:rPr>
        <w:fldChar w:fldCharType="end"/>
      </w:r>
      <w:bookmarkEnd w:id="56"/>
      <w:r>
        <w:t xml:space="preserve">: </w:t>
      </w:r>
      <w:r>
        <w:rPr>
          <w:rStyle w:val="Captionnotbold"/>
        </w:rPr>
        <w:t xml:space="preserve">Proportion of ELS episodes or locum days by </w:t>
      </w:r>
      <w:proofErr w:type="spellStart"/>
      <w:r w:rsidRPr="00DC1576">
        <w:rPr>
          <w:rStyle w:val="Captionnotbold"/>
        </w:rPr>
        <w:t>PhARIA</w:t>
      </w:r>
      <w:proofErr w:type="spellEnd"/>
      <w:r w:rsidR="00F069AD">
        <w:rPr>
          <w:rStyle w:val="Captionnotbold"/>
        </w:rPr>
        <w:t>, 2010</w:t>
      </w:r>
      <w:r w:rsidR="00B330F0">
        <w:rPr>
          <w:rStyle w:val="Captionnotbold"/>
        </w:rPr>
        <w:t>–</w:t>
      </w:r>
      <w:r w:rsidR="00F069AD">
        <w:rPr>
          <w:rStyle w:val="Captionnotbold"/>
        </w:rPr>
        <w:t>11 to 2015</w:t>
      </w:r>
      <w:r w:rsidR="00B330F0">
        <w:rPr>
          <w:rStyle w:val="Captionnotbold"/>
        </w:rPr>
        <w:t>–</w:t>
      </w:r>
      <w:r w:rsidR="00F069AD">
        <w:rPr>
          <w:rStyle w:val="Captionnotbold"/>
        </w:rPr>
        <w:t>16</w:t>
      </w:r>
    </w:p>
    <w:p w14:paraId="1660C5B7" w14:textId="77777777" w:rsidR="00DC1576" w:rsidRDefault="00FF44D0" w:rsidP="00DC1576">
      <w:pPr>
        <w:pStyle w:val="BodyCopy"/>
        <w:jc w:val="center"/>
      </w:pPr>
      <w:r w:rsidRPr="00FF44D0">
        <w:rPr>
          <w:noProof/>
          <w:lang w:eastAsia="en-AU"/>
        </w:rPr>
        <w:drawing>
          <wp:inline distT="0" distB="0" distL="0" distR="0" wp14:anchorId="176D4F01" wp14:editId="28A45DDE">
            <wp:extent cx="3787350" cy="2351314"/>
            <wp:effectExtent l="0" t="0" r="3810" b="0"/>
            <wp:docPr id="68" name="Picture 68" descr="Figure 3.4 Bar graph showing proportion of ELS episodes or locum days by PhARIA, 2010-11 to 20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98093" cy="2357984"/>
                    </a:xfrm>
                    <a:prstGeom prst="rect">
                      <a:avLst/>
                    </a:prstGeom>
                    <a:noFill/>
                    <a:ln>
                      <a:noFill/>
                    </a:ln>
                  </pic:spPr>
                </pic:pic>
              </a:graphicData>
            </a:graphic>
          </wp:inline>
        </w:drawing>
      </w:r>
    </w:p>
    <w:p w14:paraId="198DC38B" w14:textId="71469A3E" w:rsidR="00DC1576" w:rsidRPr="00DC1576" w:rsidRDefault="00DC1576" w:rsidP="00DC1576">
      <w:pPr>
        <w:pStyle w:val="Caption"/>
        <w:rPr>
          <w:rStyle w:val="Captionnotbold"/>
        </w:rPr>
      </w:pPr>
      <w:bookmarkStart w:id="57" w:name="_Ref487467845"/>
      <w:r>
        <w:t xml:space="preserve">Figure </w:t>
      </w:r>
      <w:r w:rsidR="00BC6E6C">
        <w:rPr>
          <w:noProof/>
        </w:rPr>
        <w:fldChar w:fldCharType="begin"/>
      </w:r>
      <w:r w:rsidR="00BC6E6C">
        <w:rPr>
          <w:noProof/>
        </w:rPr>
        <w:instrText xml:space="preserve"> STYLEREF 1 \s </w:instrText>
      </w:r>
      <w:r w:rsidR="00BC6E6C">
        <w:rPr>
          <w:noProof/>
        </w:rPr>
        <w:fldChar w:fldCharType="separate"/>
      </w:r>
      <w:r w:rsidR="00910E65">
        <w:rPr>
          <w:noProof/>
        </w:rPr>
        <w:t>3</w:t>
      </w:r>
      <w:r w:rsidR="00BC6E6C">
        <w:rPr>
          <w:noProof/>
        </w:rPr>
        <w:fldChar w:fldCharType="end"/>
      </w:r>
      <w:r w:rsidR="00181D4C">
        <w:t>.</w:t>
      </w:r>
      <w:r w:rsidR="00BC6E6C">
        <w:rPr>
          <w:noProof/>
        </w:rPr>
        <w:fldChar w:fldCharType="begin"/>
      </w:r>
      <w:r w:rsidR="00BC6E6C">
        <w:rPr>
          <w:noProof/>
        </w:rPr>
        <w:instrText xml:space="preserve"> SEQ Figure \* ARABIC \s 1 </w:instrText>
      </w:r>
      <w:r w:rsidR="00BC6E6C">
        <w:rPr>
          <w:noProof/>
        </w:rPr>
        <w:fldChar w:fldCharType="separate"/>
      </w:r>
      <w:r w:rsidR="00910E65">
        <w:rPr>
          <w:noProof/>
        </w:rPr>
        <w:t>5</w:t>
      </w:r>
      <w:r w:rsidR="00BC6E6C">
        <w:rPr>
          <w:noProof/>
        </w:rPr>
        <w:fldChar w:fldCharType="end"/>
      </w:r>
      <w:bookmarkEnd w:id="57"/>
      <w:r>
        <w:t xml:space="preserve">: </w:t>
      </w:r>
      <w:r w:rsidRPr="00DC1576">
        <w:rPr>
          <w:rStyle w:val="Captionnotbold"/>
        </w:rPr>
        <w:t xml:space="preserve">Average length of ELS locum by </w:t>
      </w:r>
      <w:proofErr w:type="spellStart"/>
      <w:r w:rsidRPr="00DC1576">
        <w:rPr>
          <w:rStyle w:val="Captionnotbold"/>
        </w:rPr>
        <w:t>PhARIA</w:t>
      </w:r>
      <w:proofErr w:type="spellEnd"/>
      <w:r w:rsidRPr="00DC1576">
        <w:rPr>
          <w:rStyle w:val="Captionnotbold"/>
        </w:rPr>
        <w:t>*</w:t>
      </w:r>
      <w:r w:rsidR="00F069AD">
        <w:rPr>
          <w:rStyle w:val="Captionnotbold"/>
        </w:rPr>
        <w:t>, 2010</w:t>
      </w:r>
      <w:r w:rsidR="00B330F0">
        <w:rPr>
          <w:rStyle w:val="Captionnotbold"/>
        </w:rPr>
        <w:t>–</w:t>
      </w:r>
      <w:r w:rsidR="00F069AD">
        <w:rPr>
          <w:rStyle w:val="Captionnotbold"/>
        </w:rPr>
        <w:t>11 to 2015</w:t>
      </w:r>
      <w:r w:rsidR="00B330F0">
        <w:rPr>
          <w:rStyle w:val="Captionnotbold"/>
        </w:rPr>
        <w:t>–</w:t>
      </w:r>
      <w:r w:rsidR="00F069AD">
        <w:rPr>
          <w:rStyle w:val="Captionnotbold"/>
        </w:rPr>
        <w:t>16</w:t>
      </w:r>
    </w:p>
    <w:p w14:paraId="6E93589A" w14:textId="77777777" w:rsidR="00DC1576" w:rsidRDefault="00FF44D0" w:rsidP="00DC1576">
      <w:pPr>
        <w:pStyle w:val="BodyCopy"/>
        <w:jc w:val="center"/>
      </w:pPr>
      <w:r w:rsidRPr="00FF44D0">
        <w:rPr>
          <w:noProof/>
          <w:lang w:eastAsia="en-AU"/>
        </w:rPr>
        <w:drawing>
          <wp:inline distT="0" distB="0" distL="0" distR="0" wp14:anchorId="633C02DC" wp14:editId="159E8EDE">
            <wp:extent cx="3902122" cy="2422567"/>
            <wp:effectExtent l="0" t="0" r="3175" b="0"/>
            <wp:docPr id="69" name="Picture 69" descr="Figure 3.5 Line graph showing average length of ELS locum by PhARIA, 2010-11 to 20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06772" cy="2425454"/>
                    </a:xfrm>
                    <a:prstGeom prst="rect">
                      <a:avLst/>
                    </a:prstGeom>
                    <a:noFill/>
                    <a:ln>
                      <a:noFill/>
                    </a:ln>
                  </pic:spPr>
                </pic:pic>
              </a:graphicData>
            </a:graphic>
          </wp:inline>
        </w:drawing>
      </w:r>
    </w:p>
    <w:p w14:paraId="25BAF320" w14:textId="77777777" w:rsidR="00DC1576" w:rsidRPr="00A9651E" w:rsidRDefault="00DC1576" w:rsidP="00DC1576">
      <w:pPr>
        <w:pStyle w:val="TableNotes"/>
        <w:jc w:val="center"/>
      </w:pPr>
      <w:r w:rsidRPr="00A9651E">
        <w:t xml:space="preserve">*As only one ELS request was made from </w:t>
      </w:r>
      <w:proofErr w:type="spellStart"/>
      <w:r w:rsidRPr="00A9651E">
        <w:t>PhARIA</w:t>
      </w:r>
      <w:proofErr w:type="spellEnd"/>
      <w:r w:rsidRPr="00A9651E">
        <w:t xml:space="preserve"> 1, the average was not calculated.</w:t>
      </w:r>
    </w:p>
    <w:p w14:paraId="100DCAC0" w14:textId="44A96790" w:rsidR="006F31FE" w:rsidRDefault="006F31FE" w:rsidP="006F31FE">
      <w:pPr>
        <w:pStyle w:val="BodyCopy"/>
      </w:pPr>
      <w:r>
        <w:t xml:space="preserve">Similarly, the 16 ELS recipients that responded to the online survey indicated that </w:t>
      </w:r>
      <w:r w:rsidR="00B330F0">
        <w:t xml:space="preserve">the </w:t>
      </w:r>
      <w:r>
        <w:t xml:space="preserve">ELS program was very important (94%) or important (6%). Ten respondents (63%) indicated that they would probably </w:t>
      </w:r>
      <w:r w:rsidR="00B330F0">
        <w:t xml:space="preserve">have </w:t>
      </w:r>
      <w:r>
        <w:t xml:space="preserve">had to close their pharmacy temporarily if the program had not been available. Most respondents (n=14, 88%) ‘strongly agreed’ that </w:t>
      </w:r>
      <w:r w:rsidRPr="00356DCF">
        <w:t xml:space="preserve">the </w:t>
      </w:r>
      <w:r>
        <w:t>ELS</w:t>
      </w:r>
      <w:r w:rsidRPr="00356DCF">
        <w:t xml:space="preserve"> is effective in helping pharmacies maintain </w:t>
      </w:r>
      <w:r w:rsidR="00B330F0" w:rsidRPr="00356DCF">
        <w:t>communities</w:t>
      </w:r>
      <w:r w:rsidR="00B330F0">
        <w:t>’</w:t>
      </w:r>
      <w:r w:rsidR="00B330F0" w:rsidRPr="00356DCF">
        <w:t xml:space="preserve"> </w:t>
      </w:r>
      <w:r w:rsidRPr="00356DCF">
        <w:t>access to pharmacy services</w:t>
      </w:r>
      <w:r>
        <w:t xml:space="preserve">. However, only 64% (n=11) agreed that the ELS was effective in encouraging pharmacists to practise in a rural location. </w:t>
      </w:r>
    </w:p>
    <w:p w14:paraId="7C27DD18" w14:textId="43EEB0A7" w:rsidR="00BD0FE9" w:rsidRDefault="00BD0FE9" w:rsidP="00BD0FE9">
      <w:pPr>
        <w:pStyle w:val="BodyCopy"/>
      </w:pPr>
      <w:r>
        <w:t xml:space="preserve">Pharmacists consulted </w:t>
      </w:r>
      <w:r w:rsidR="006F31FE">
        <w:t xml:space="preserve">indicated that </w:t>
      </w:r>
      <w:r>
        <w:t xml:space="preserve">the ELS program </w:t>
      </w:r>
      <w:r w:rsidR="006F31FE">
        <w:t xml:space="preserve">is </w:t>
      </w:r>
      <w:r>
        <w:t xml:space="preserve">vital during times of emergency. However, pharmacists </w:t>
      </w:r>
      <w:r w:rsidR="006F31FE">
        <w:t xml:space="preserve">also </w:t>
      </w:r>
      <w:r>
        <w:t xml:space="preserve">reiterated the difficulties </w:t>
      </w:r>
      <w:r w:rsidR="00B330F0">
        <w:t xml:space="preserve">in </w:t>
      </w:r>
      <w:r>
        <w:t>securing locums to cover absences in non-emergency situations</w:t>
      </w:r>
      <w:r w:rsidR="00B330F0">
        <w:t>,</w:t>
      </w:r>
      <w:r>
        <w:t xml:space="preserve"> such as for CPD events. </w:t>
      </w:r>
    </w:p>
    <w:p w14:paraId="2059EE83" w14:textId="677C6D40" w:rsidR="00A3747B" w:rsidRDefault="006F31FE" w:rsidP="000157E1">
      <w:pPr>
        <w:pStyle w:val="Effectiveness"/>
        <w:keepNext/>
        <w:keepLines/>
      </w:pPr>
      <w:r>
        <w:lastRenderedPageBreak/>
        <w:t xml:space="preserve">The ELS is a </w:t>
      </w:r>
      <w:r w:rsidR="00A3747B">
        <w:t>highly</w:t>
      </w:r>
      <w:r w:rsidR="00B330F0">
        <w:t xml:space="preserve"> </w:t>
      </w:r>
      <w:r w:rsidR="00A3747B">
        <w:t>valued</w:t>
      </w:r>
      <w:r>
        <w:t xml:space="preserve"> program among</w:t>
      </w:r>
      <w:r w:rsidR="00055DEF">
        <w:t xml:space="preserve"> non-metropolitan pharmacists</w:t>
      </w:r>
      <w:r w:rsidR="00926C38">
        <w:t>,</w:t>
      </w:r>
      <w:r w:rsidR="00055DEF">
        <w:t xml:space="preserve"> as </w:t>
      </w:r>
      <w:r w:rsidR="00AF2BEF">
        <w:t>reflected</w:t>
      </w:r>
      <w:r w:rsidR="00055DEF">
        <w:t xml:space="preserve"> by the </w:t>
      </w:r>
      <w:r w:rsidR="00B62826">
        <w:t xml:space="preserve">increase in demand over the last </w:t>
      </w:r>
      <w:r w:rsidR="00055DEF">
        <w:t>five years</w:t>
      </w:r>
      <w:r w:rsidR="00926C38">
        <w:t>, which reduces temporary closures of pharmacies</w:t>
      </w:r>
      <w:r w:rsidR="00055DEF">
        <w:t xml:space="preserve">. </w:t>
      </w:r>
    </w:p>
    <w:p w14:paraId="351FD6C1" w14:textId="5C312D62" w:rsidR="006F31FE" w:rsidRDefault="00926C38" w:rsidP="000157E1">
      <w:pPr>
        <w:pStyle w:val="Effectiveness"/>
        <w:keepNext/>
        <w:keepLines/>
      </w:pPr>
      <w:r>
        <w:t xml:space="preserve">Demand is highest in </w:t>
      </w:r>
      <w:proofErr w:type="spellStart"/>
      <w:r>
        <w:t>PhARIA</w:t>
      </w:r>
      <w:proofErr w:type="spellEnd"/>
      <w:r>
        <w:t xml:space="preserve"> 3 and above locations, with </w:t>
      </w:r>
      <w:proofErr w:type="spellStart"/>
      <w:r>
        <w:t>PhARIA</w:t>
      </w:r>
      <w:proofErr w:type="spellEnd"/>
      <w:r>
        <w:t xml:space="preserve"> 6 pharmacists requiring the greatest length of locum days. This indicates that the ELS program achieve</w:t>
      </w:r>
      <w:r w:rsidR="002A38D4">
        <w:t>s</w:t>
      </w:r>
      <w:r>
        <w:t xml:space="preserve"> its aim of supporting rural and remote communities to retain access to community pharmacy services.</w:t>
      </w:r>
    </w:p>
    <w:p w14:paraId="217E88AD" w14:textId="77777777" w:rsidR="00436590" w:rsidRPr="0082020E" w:rsidRDefault="00436590" w:rsidP="00F235DC">
      <w:pPr>
        <w:pStyle w:val="Heading4"/>
      </w:pPr>
      <w:r w:rsidRPr="0082020E">
        <w:t>Efficiency</w:t>
      </w:r>
    </w:p>
    <w:p w14:paraId="0E4E112B" w14:textId="24D520FC" w:rsidR="00F235DC" w:rsidRDefault="00F235DC" w:rsidP="00F235DC">
      <w:pPr>
        <w:pStyle w:val="BodyCopy"/>
      </w:pPr>
      <w:r>
        <w:t xml:space="preserve">The average annual costs of the ELS program (ELS allowance plus administration costs) was </w:t>
      </w:r>
      <w:r w:rsidRPr="005F7628">
        <w:t xml:space="preserve">estimated at </w:t>
      </w:r>
      <w:r w:rsidRPr="005F7628">
        <w:rPr>
          <w:rFonts w:ascii="Times New Roman" w:hAnsi="Times New Roman"/>
        </w:rPr>
        <w:t>$</w:t>
      </w:r>
      <w:r w:rsidR="005F7628" w:rsidRPr="005F7628">
        <w:t>165,814</w:t>
      </w:r>
      <w:r w:rsidRPr="005F7628">
        <w:t xml:space="preserve"> (based on the two financial years for which data was available</w:t>
      </w:r>
      <w:r w:rsidRPr="005F7628">
        <w:rPr>
          <w:rFonts w:ascii="Times New Roman" w:hAnsi="Times New Roman"/>
        </w:rPr>
        <w:t xml:space="preserve"> $</w:t>
      </w:r>
      <w:r w:rsidR="005F7628" w:rsidRPr="005F7628">
        <w:t>157,949</w:t>
      </w:r>
      <w:r w:rsidRPr="005F7628">
        <w:t xml:space="preserve"> in 2013</w:t>
      </w:r>
      <w:r w:rsidR="00B330F0" w:rsidRPr="005F7628">
        <w:t>–</w:t>
      </w:r>
      <w:r w:rsidRPr="005F7628">
        <w:t xml:space="preserve">14 and </w:t>
      </w:r>
      <w:r w:rsidRPr="005F7628">
        <w:rPr>
          <w:rFonts w:ascii="Times New Roman" w:hAnsi="Times New Roman"/>
        </w:rPr>
        <w:t>$</w:t>
      </w:r>
      <w:r w:rsidRPr="005F7628">
        <w:t>17</w:t>
      </w:r>
      <w:r w:rsidR="005F7628" w:rsidRPr="005F7628">
        <w:t>3,679</w:t>
      </w:r>
      <w:r w:rsidRPr="005F7628">
        <w:t xml:space="preserve"> in 2014</w:t>
      </w:r>
      <w:r w:rsidR="00B330F0" w:rsidRPr="005F7628">
        <w:t>–</w:t>
      </w:r>
      <w:r w:rsidRPr="005F7628">
        <w:t>15).</w:t>
      </w:r>
      <w:r>
        <w:t xml:space="preserve"> This equates to an average unit cost of </w:t>
      </w:r>
      <w:r>
        <w:rPr>
          <w:rFonts w:ascii="Times New Roman" w:hAnsi="Times New Roman"/>
        </w:rPr>
        <w:t>$</w:t>
      </w:r>
      <w:r w:rsidR="007A43F1">
        <w:t>3,346</w:t>
      </w:r>
      <w:r>
        <w:t xml:space="preserve"> per claim.</w:t>
      </w:r>
    </w:p>
    <w:p w14:paraId="63F55A90" w14:textId="4604B676" w:rsidR="00F235DC" w:rsidRDefault="00F235DC" w:rsidP="0082020E">
      <w:pPr>
        <w:pStyle w:val="BodyCopy"/>
      </w:pPr>
      <w:r w:rsidRPr="004A5105">
        <w:t>Although each allowance is capped at $2,</w:t>
      </w:r>
      <w:r>
        <w:t>5</w:t>
      </w:r>
      <w:r w:rsidRPr="004A5105">
        <w:t>00</w:t>
      </w:r>
      <w:r w:rsidR="00B330F0">
        <w:t>,</w:t>
      </w:r>
      <w:r w:rsidRPr="004A5105">
        <w:t xml:space="preserve"> the average allowance amount</w:t>
      </w:r>
      <w:r>
        <w:t xml:space="preserve"> equated to </w:t>
      </w:r>
      <w:r>
        <w:rPr>
          <w:rFonts w:ascii="Times New Roman" w:hAnsi="Times New Roman"/>
        </w:rPr>
        <w:t>$</w:t>
      </w:r>
      <w:r>
        <w:t>2,662</w:t>
      </w:r>
      <w:r w:rsidRPr="004A5105">
        <w:t xml:space="preserve"> over the two years (2013</w:t>
      </w:r>
      <w:r w:rsidR="00B330F0">
        <w:t>–</w:t>
      </w:r>
      <w:r w:rsidRPr="004A5105">
        <w:t>14 and 2014</w:t>
      </w:r>
      <w:r w:rsidR="00B330F0">
        <w:t>–</w:t>
      </w:r>
      <w:r w:rsidRPr="004A5105">
        <w:t xml:space="preserve">15). </w:t>
      </w:r>
      <w:r>
        <w:t xml:space="preserve">Therefore, exceptions to the </w:t>
      </w:r>
      <w:r>
        <w:rPr>
          <w:rFonts w:ascii="Times New Roman" w:hAnsi="Times New Roman"/>
        </w:rPr>
        <w:t>$</w:t>
      </w:r>
      <w:r>
        <w:t>2,500 limit must have been granted. The administrative component of the ELS program is re</w:t>
      </w:r>
      <w:r w:rsidR="007A43F1">
        <w:t>latively low at an average of 21</w:t>
      </w:r>
      <w:r>
        <w:t>% of the unit cost. This is in part due to the use of one service provider (</w:t>
      </w:r>
      <w:proofErr w:type="spellStart"/>
      <w:r>
        <w:t>LocumCo</w:t>
      </w:r>
      <w:proofErr w:type="spellEnd"/>
      <w:r>
        <w:t xml:space="preserve">) </w:t>
      </w:r>
      <w:r w:rsidR="00B330F0">
        <w:t xml:space="preserve">that </w:t>
      </w:r>
      <w:r>
        <w:t>manage</w:t>
      </w:r>
      <w:r w:rsidR="00B330F0">
        <w:t>s</w:t>
      </w:r>
      <w:r>
        <w:t xml:space="preserve"> the </w:t>
      </w:r>
      <w:r w:rsidR="00B330F0">
        <w:t>day-to-</w:t>
      </w:r>
      <w:r>
        <w:t xml:space="preserve">day processing of ELS claims. </w:t>
      </w:r>
    </w:p>
    <w:p w14:paraId="56A02C24" w14:textId="0ACBCF29" w:rsidR="007A43F1" w:rsidRPr="00B2593B" w:rsidRDefault="007A43F1" w:rsidP="00453658">
      <w:pPr>
        <w:pStyle w:val="Efficiency"/>
      </w:pPr>
      <w:r>
        <w:t xml:space="preserve">A single unit </w:t>
      </w:r>
      <w:r w:rsidRPr="005F7628">
        <w:t xml:space="preserve">cost per </w:t>
      </w:r>
      <w:r w:rsidR="005F7628" w:rsidRPr="005F7628">
        <w:t>ELS</w:t>
      </w:r>
      <w:r w:rsidRPr="005F7628">
        <w:t xml:space="preserve"> recipient was estimated at </w:t>
      </w:r>
      <w:r w:rsidRPr="005F7628">
        <w:rPr>
          <w:rFonts w:ascii="Times New Roman" w:hAnsi="Times New Roman"/>
        </w:rPr>
        <w:t>$</w:t>
      </w:r>
      <w:r w:rsidR="005F7628" w:rsidRPr="005F7628">
        <w:t>3,346 comprising 20</w:t>
      </w:r>
      <w:r w:rsidRPr="005F7628">
        <w:t>% administration overhead</w:t>
      </w:r>
      <w:r>
        <w:t xml:space="preserve"> costs. This was considered within the acceptable range for administration overheads. However, further investigation is required to assess actual time spent administering the program.</w:t>
      </w:r>
    </w:p>
    <w:p w14:paraId="59CA3525" w14:textId="77777777" w:rsidR="00F235DC" w:rsidRDefault="00F235DC" w:rsidP="00F235DC">
      <w:pPr>
        <w:pStyle w:val="Heading4"/>
      </w:pPr>
      <w:r>
        <w:t>Options for improving program operation</w:t>
      </w:r>
    </w:p>
    <w:p w14:paraId="3D65C500" w14:textId="32E8923D" w:rsidR="00F26E7C" w:rsidRDefault="00BB0224" w:rsidP="0082020E">
      <w:pPr>
        <w:pStyle w:val="BodyCopy"/>
      </w:pPr>
      <w:r>
        <w:t>To improve efficiency</w:t>
      </w:r>
      <w:r w:rsidR="00B330F0">
        <w:t>,</w:t>
      </w:r>
      <w:r>
        <w:t xml:space="preserve"> the ELS program should aim to i</w:t>
      </w:r>
      <w:r w:rsidR="00F26E7C">
        <w:t xml:space="preserve">mprove clarity and transparency of eligibility criteria, </w:t>
      </w:r>
      <w:r w:rsidR="006D217C">
        <w:t xml:space="preserve">including </w:t>
      </w:r>
      <w:r w:rsidR="00F26E7C">
        <w:t>items covered by the service, acceptable length of service and expected co-payments by pharmacists</w:t>
      </w:r>
      <w:r>
        <w:t xml:space="preserve">. </w:t>
      </w:r>
    </w:p>
    <w:p w14:paraId="044374CF" w14:textId="1AEBB3E0" w:rsidR="00BB0224" w:rsidRDefault="00BB0224" w:rsidP="0082020E">
      <w:pPr>
        <w:pStyle w:val="BodyCopy"/>
      </w:pPr>
      <w:r>
        <w:t xml:space="preserve">Several survey respondents commented that they felt the ELS service had ‘double-dipped’ by receiving funds through the ELS program and being paid by the pharmacy. It is unclear from the comments if this can be attributed to a lack of understanding of how the funds are administered and </w:t>
      </w:r>
      <w:r w:rsidR="00825A7A">
        <w:t xml:space="preserve">of </w:t>
      </w:r>
      <w:r>
        <w:t xml:space="preserve">expected pharmacist contributions for the service. </w:t>
      </w:r>
    </w:p>
    <w:p w14:paraId="2AE4DA94" w14:textId="3C7D340C" w:rsidR="00BB0224" w:rsidRDefault="00BB0224" w:rsidP="0082020E">
      <w:pPr>
        <w:pStyle w:val="BodyCopy"/>
      </w:pPr>
      <w:r>
        <w:t xml:space="preserve">In addition, further clarity on length of placements or when exceptions may be made is required to reduce confusion among pharmacists. Many pharmacists consulted were unaware of the program or thought they were ineligible as </w:t>
      </w:r>
      <w:r w:rsidR="00C02C28">
        <w:t xml:space="preserve">they </w:t>
      </w:r>
      <w:r>
        <w:t>were a pharmacy manager but not the owner. Increased marketing and addition</w:t>
      </w:r>
      <w:r w:rsidR="00C02C28">
        <w:t>al</w:t>
      </w:r>
      <w:r>
        <w:t xml:space="preserve"> clarity on eligibility or application process may increase program usage. </w:t>
      </w:r>
    </w:p>
    <w:p w14:paraId="28A22E24" w14:textId="36AC3190" w:rsidR="00136C33" w:rsidRDefault="00136C33" w:rsidP="0082020E">
      <w:pPr>
        <w:pStyle w:val="BodyCopy"/>
      </w:pPr>
      <w:r>
        <w:t xml:space="preserve">The limitation of the ELS program to cover </w:t>
      </w:r>
      <w:r w:rsidR="00C02C28">
        <w:t xml:space="preserve">only </w:t>
      </w:r>
      <w:r>
        <w:t xml:space="preserve">locum travel costs may also be a barrier to use by some pharmacists. In some remote </w:t>
      </w:r>
      <w:r w:rsidR="0051623A">
        <w:t>locations,</w:t>
      </w:r>
      <w:r>
        <w:t xml:space="preserve"> </w:t>
      </w:r>
      <w:r w:rsidR="00C02C28">
        <w:t xml:space="preserve">it </w:t>
      </w:r>
      <w:r>
        <w:t xml:space="preserve">may not be practical for locums to travel from home each day. In these instances, the pharmacists are disadvantaged </w:t>
      </w:r>
      <w:r w:rsidR="00C02C28">
        <w:t xml:space="preserve">if </w:t>
      </w:r>
      <w:r>
        <w:t xml:space="preserve">they need to cover the accommodation costs for the locum as well as the locum salary. </w:t>
      </w:r>
    </w:p>
    <w:p w14:paraId="70D0F4C4" w14:textId="6D0B267C" w:rsidR="0058145C" w:rsidRDefault="00BB0224" w:rsidP="0082020E">
      <w:pPr>
        <w:pStyle w:val="BodyCopy"/>
      </w:pPr>
      <w:r>
        <w:t xml:space="preserve">In the two financial years for which funding data was available, the ELS program used </w:t>
      </w:r>
      <w:r w:rsidR="00C02C28">
        <w:t xml:space="preserve">only </w:t>
      </w:r>
      <w:r>
        <w:t>approximately half of the budgeted funding (</w:t>
      </w:r>
      <w:r w:rsidR="00C02C28">
        <w:t xml:space="preserve">the remaining </w:t>
      </w:r>
      <w:r>
        <w:t>funding was subsequently redistributed among other pharmacy program</w:t>
      </w:r>
      <w:r w:rsidR="00C02C28">
        <w:t>s</w:t>
      </w:r>
      <w:r>
        <w:t xml:space="preserve"> with permission of the Department). </w:t>
      </w:r>
      <w:r w:rsidR="007A7102">
        <w:t xml:space="preserve">This indicates that the program has capacity to </w:t>
      </w:r>
      <w:r w:rsidR="00136C33">
        <w:t xml:space="preserve">cope with increased demand that may be created through additional marketing activities or through increasing the allowances to include accommodation as required. </w:t>
      </w:r>
    </w:p>
    <w:p w14:paraId="1B4AED4E" w14:textId="77777777" w:rsidR="00930A11" w:rsidRDefault="00930A11" w:rsidP="00930A11">
      <w:pPr>
        <w:pStyle w:val="BodyCopy"/>
      </w:pPr>
      <w:r>
        <w:t xml:space="preserve">Some pharmacists also felt that the ELS program should partially cover locum salaries, but further investigation is required to determine if locum salaries through the ELS program are higher than metropolitan counterparts. Economic modelling would also be required to demine the financial implications for the program if salaries were partially subsidised. </w:t>
      </w:r>
    </w:p>
    <w:p w14:paraId="247E849B" w14:textId="77777777" w:rsidR="004A4FC1" w:rsidRDefault="004A4FC1" w:rsidP="00453658">
      <w:pPr>
        <w:pStyle w:val="BodyCopy"/>
      </w:pPr>
      <w:r>
        <w:t xml:space="preserve">Minor modifications to the ELS program could be made to improve the overall efficiency of the program. However, the economic impact of the modifications would need to be considered. </w:t>
      </w:r>
    </w:p>
    <w:p w14:paraId="24B1FBC9" w14:textId="77777777" w:rsidR="00C5720C" w:rsidRPr="00DA5675" w:rsidRDefault="00C5720C" w:rsidP="00DA5675">
      <w:pPr>
        <w:pStyle w:val="Heading2"/>
      </w:pPr>
      <w:bookmarkStart w:id="58" w:name="_Ref486927856"/>
      <w:bookmarkStart w:id="59" w:name="_Ref487543597"/>
      <w:bookmarkStart w:id="60" w:name="_Toc523318815"/>
      <w:r w:rsidRPr="00DA5675">
        <w:lastRenderedPageBreak/>
        <w:t>Intern Incentive Allowance for Rural Pharmacies</w:t>
      </w:r>
      <w:bookmarkEnd w:id="58"/>
      <w:r w:rsidR="008D1339" w:rsidRPr="00DA5675">
        <w:t xml:space="preserve"> and Extension Program</w:t>
      </w:r>
      <w:bookmarkEnd w:id="59"/>
      <w:bookmarkEnd w:id="60"/>
    </w:p>
    <w:p w14:paraId="5B1520D0" w14:textId="4AEE43B5" w:rsidR="00C5720C" w:rsidRPr="00C5720C" w:rsidRDefault="00C5720C" w:rsidP="00DA5675">
      <w:pPr>
        <w:pStyle w:val="Heading3"/>
      </w:pPr>
      <w:bookmarkStart w:id="61" w:name="_Toc523318816"/>
      <w:r w:rsidRPr="00C5720C">
        <w:t>Context</w:t>
      </w:r>
      <w:bookmarkEnd w:id="61"/>
    </w:p>
    <w:p w14:paraId="5498C0C0" w14:textId="77777777" w:rsidR="00742BE7" w:rsidRPr="00742BE7" w:rsidRDefault="00742BE7" w:rsidP="00DA5675">
      <w:pPr>
        <w:pStyle w:val="Heading4"/>
      </w:pPr>
      <w:r w:rsidRPr="00742BE7">
        <w:t xml:space="preserve">Target population </w:t>
      </w:r>
    </w:p>
    <w:p w14:paraId="032762E4" w14:textId="479A3FB9" w:rsidR="0028395F" w:rsidRDefault="00742BE7" w:rsidP="0028395F">
      <w:pPr>
        <w:pStyle w:val="BodyCopy"/>
      </w:pPr>
      <w:r>
        <w:t xml:space="preserve">The Intern Incentive Allowance for Rural Pharmacies (IIARP) </w:t>
      </w:r>
      <w:r w:rsidR="0028395F">
        <w:t xml:space="preserve">and Extension Program (IIARP-EP) </w:t>
      </w:r>
      <w:r>
        <w:t xml:space="preserve">supports </w:t>
      </w:r>
      <w:r w:rsidR="0028395F">
        <w:t xml:space="preserve">community pharmacies </w:t>
      </w:r>
      <w:r>
        <w:t xml:space="preserve">or </w:t>
      </w:r>
      <w:r w:rsidR="0028395F">
        <w:t xml:space="preserve">hospital </w:t>
      </w:r>
      <w:r w:rsidR="0028395F" w:rsidRPr="00742BE7">
        <w:t>authorities</w:t>
      </w:r>
      <w:r w:rsidR="0028395F">
        <w:t xml:space="preserve"> </w:t>
      </w:r>
      <w:r>
        <w:t>in rural areas employing pharmacy interns</w:t>
      </w:r>
      <w:r w:rsidR="00C02C28">
        <w:t xml:space="preserve"> in</w:t>
      </w:r>
      <w:r w:rsidR="0028395F">
        <w:t xml:space="preserve"> (</w:t>
      </w:r>
      <w:proofErr w:type="spellStart"/>
      <w:r w:rsidR="0028395F">
        <w:t>PhARIA</w:t>
      </w:r>
      <w:proofErr w:type="spellEnd"/>
      <w:r w:rsidR="0028395F">
        <w:t xml:space="preserve"> 2</w:t>
      </w:r>
      <w:r w:rsidR="00C02C28">
        <w:t>–</w:t>
      </w:r>
      <w:r w:rsidR="0028395F">
        <w:t>6) or newly registered pharmacy graduates</w:t>
      </w:r>
      <w:r w:rsidR="00C02C28">
        <w:t xml:space="preserve"> in</w:t>
      </w:r>
      <w:r w:rsidR="0028395F">
        <w:t xml:space="preserve"> (</w:t>
      </w:r>
      <w:proofErr w:type="spellStart"/>
      <w:r w:rsidR="0028395F">
        <w:t>PhARIA</w:t>
      </w:r>
      <w:proofErr w:type="spellEnd"/>
      <w:r w:rsidR="0028395F">
        <w:t xml:space="preserve"> 4</w:t>
      </w:r>
      <w:r w:rsidR="00C02C28">
        <w:t>–</w:t>
      </w:r>
      <w:r w:rsidR="0028395F">
        <w:t>6), respectively.</w:t>
      </w:r>
      <w:sdt>
        <w:sdtPr>
          <w:id w:val="1132137119"/>
          <w:citation/>
        </w:sdtPr>
        <w:sdtContent>
          <w:r w:rsidR="0028395F">
            <w:fldChar w:fldCharType="begin"/>
          </w:r>
          <w:r w:rsidR="0028395F">
            <w:instrText xml:space="preserve"> CITATION The153 \l 3081 </w:instrText>
          </w:r>
          <w:r w:rsidR="0028395F">
            <w:fldChar w:fldCharType="separate"/>
          </w:r>
          <w:r w:rsidR="0089011F">
            <w:rPr>
              <w:noProof/>
            </w:rPr>
            <w:t xml:space="preserve"> </w:t>
          </w:r>
          <w:r w:rsidR="0089011F" w:rsidRPr="0089011F">
            <w:rPr>
              <w:noProof/>
            </w:rPr>
            <w:t>[41]</w:t>
          </w:r>
          <w:r w:rsidR="0028395F">
            <w:fldChar w:fldCharType="end"/>
          </w:r>
        </w:sdtContent>
      </w:sdt>
      <w:r w:rsidR="0028395F">
        <w:t xml:space="preserve"> </w:t>
      </w:r>
    </w:p>
    <w:p w14:paraId="19096FD7" w14:textId="12235CA3" w:rsidR="00C5720C" w:rsidRPr="00742BE7" w:rsidRDefault="00C5720C" w:rsidP="00DA5675">
      <w:pPr>
        <w:pStyle w:val="Heading4"/>
      </w:pPr>
      <w:r w:rsidRPr="00742BE7">
        <w:t xml:space="preserve">Program </w:t>
      </w:r>
      <w:r w:rsidR="00667940">
        <w:t>aim</w:t>
      </w:r>
    </w:p>
    <w:p w14:paraId="1A1448A0" w14:textId="77777777" w:rsidR="00C5720C" w:rsidRPr="00C5720C" w:rsidRDefault="00C5720C" w:rsidP="00C5720C">
      <w:pPr>
        <w:pStyle w:val="BodyCopy"/>
      </w:pPr>
      <w:r w:rsidRPr="00C5720C">
        <w:t xml:space="preserve">The </w:t>
      </w:r>
      <w:r w:rsidR="0028395F">
        <w:t xml:space="preserve">IIARP and IIARP-EP </w:t>
      </w:r>
      <w:r w:rsidRPr="00C5720C">
        <w:t xml:space="preserve">aims to attract, retain and support an adequate rural pharmacy workforce, by supporting and enabling rural and remote community pharmacies to engage pharmacy interns and </w:t>
      </w:r>
      <w:r w:rsidR="0028395F">
        <w:t xml:space="preserve">new </w:t>
      </w:r>
      <w:r w:rsidRPr="00C5720C">
        <w:t>graduates in their intern and post intern year.</w:t>
      </w:r>
    </w:p>
    <w:p w14:paraId="1732F17A" w14:textId="77777777" w:rsidR="00C5720C" w:rsidRPr="00C5720C" w:rsidRDefault="00C5720C" w:rsidP="00DA5675">
      <w:pPr>
        <w:pStyle w:val="Heading4"/>
      </w:pPr>
      <w:r w:rsidRPr="00C5720C">
        <w:t>Program delivery method</w:t>
      </w:r>
    </w:p>
    <w:p w14:paraId="18669683" w14:textId="0B086C51" w:rsidR="00C97B1B" w:rsidRDefault="0028395F" w:rsidP="00742BE7">
      <w:pPr>
        <w:pStyle w:val="BodyCopy"/>
      </w:pPr>
      <w:r>
        <w:t xml:space="preserve">Both the IIARP and the IIARP-EP provide financial support to </w:t>
      </w:r>
      <w:r w:rsidRPr="006072CF">
        <w:t xml:space="preserve">community pharmacies or hospital authorities </w:t>
      </w:r>
      <w:r>
        <w:t xml:space="preserve">to assist with employing a pharmacy intern (in </w:t>
      </w:r>
      <w:proofErr w:type="spellStart"/>
      <w:r>
        <w:t>PhARIA</w:t>
      </w:r>
      <w:proofErr w:type="spellEnd"/>
      <w:r>
        <w:t xml:space="preserve"> 2</w:t>
      </w:r>
      <w:r w:rsidR="00C02C28">
        <w:t>–</w:t>
      </w:r>
      <w:r>
        <w:t>6 areas) or new graduate (</w:t>
      </w:r>
      <w:proofErr w:type="spellStart"/>
      <w:r>
        <w:t>PhARIA</w:t>
      </w:r>
      <w:proofErr w:type="spellEnd"/>
      <w:r>
        <w:t xml:space="preserve"> 4</w:t>
      </w:r>
      <w:r w:rsidR="00C02C28">
        <w:t>–</w:t>
      </w:r>
      <w:r>
        <w:t xml:space="preserve">6 areas). </w:t>
      </w:r>
    </w:p>
    <w:p w14:paraId="32A8D41E" w14:textId="00958C48" w:rsidR="00742BE7" w:rsidRPr="006072CF" w:rsidRDefault="00C97B1B" w:rsidP="00742BE7">
      <w:pPr>
        <w:pStyle w:val="BodyCopy"/>
      </w:pPr>
      <w:r>
        <w:t xml:space="preserve">Under the IIARP, interns must be employed for a continuous period </w:t>
      </w:r>
      <w:r w:rsidR="002534F9">
        <w:t>o</w:t>
      </w:r>
      <w:r>
        <w:t xml:space="preserve">f </w:t>
      </w:r>
      <w:r w:rsidR="00C02C28">
        <w:t xml:space="preserve">six </w:t>
      </w:r>
      <w:r>
        <w:t>to 12 months.</w:t>
      </w:r>
      <w:r w:rsidR="00742BE7" w:rsidRPr="006072CF">
        <w:t xml:space="preserve"> A maximum allowance of </w:t>
      </w:r>
      <w:r w:rsidR="00742BE7">
        <w:rPr>
          <w:rFonts w:ascii="Times New Roman" w:hAnsi="Times New Roman"/>
        </w:rPr>
        <w:t>$</w:t>
      </w:r>
      <w:r w:rsidR="00742BE7" w:rsidRPr="006072CF">
        <w:t xml:space="preserve">10,000 is available </w:t>
      </w:r>
      <w:r w:rsidR="002534F9">
        <w:t xml:space="preserve">for 12 </w:t>
      </w:r>
      <w:r w:rsidR="00A3747B">
        <w:t>months’</w:t>
      </w:r>
      <w:r w:rsidR="002534F9">
        <w:t xml:space="preserve"> employment, or </w:t>
      </w:r>
      <w:r w:rsidR="00742BE7">
        <w:rPr>
          <w:rFonts w:ascii="Times New Roman" w:hAnsi="Times New Roman"/>
        </w:rPr>
        <w:t>$</w:t>
      </w:r>
      <w:r w:rsidR="00742BE7">
        <w:t xml:space="preserve">5,000 </w:t>
      </w:r>
      <w:r w:rsidR="002534F9">
        <w:t xml:space="preserve">for </w:t>
      </w:r>
      <w:r w:rsidR="00C02C28">
        <w:t xml:space="preserve">six </w:t>
      </w:r>
      <w:r w:rsidR="002534F9">
        <w:t>months</w:t>
      </w:r>
      <w:r w:rsidR="0058145C">
        <w:t>’</w:t>
      </w:r>
      <w:r w:rsidR="002534F9">
        <w:t xml:space="preserve"> employment.</w:t>
      </w:r>
      <w:sdt>
        <w:sdtPr>
          <w:id w:val="392012513"/>
          <w:citation/>
        </w:sdtPr>
        <w:sdtContent>
          <w:r>
            <w:fldChar w:fldCharType="begin"/>
          </w:r>
          <w:r>
            <w:instrText xml:space="preserve"> CITATION The152 \l 3081 </w:instrText>
          </w:r>
          <w:r>
            <w:fldChar w:fldCharType="separate"/>
          </w:r>
          <w:r w:rsidR="0089011F">
            <w:rPr>
              <w:noProof/>
            </w:rPr>
            <w:t xml:space="preserve"> </w:t>
          </w:r>
          <w:r w:rsidR="0089011F" w:rsidRPr="0089011F">
            <w:rPr>
              <w:noProof/>
            </w:rPr>
            <w:t>[42]</w:t>
          </w:r>
          <w:r>
            <w:fldChar w:fldCharType="end"/>
          </w:r>
        </w:sdtContent>
      </w:sdt>
    </w:p>
    <w:p w14:paraId="11DE430A" w14:textId="2AC724B2" w:rsidR="0028395F" w:rsidRPr="001C1908" w:rsidRDefault="002534F9" w:rsidP="0028395F">
      <w:pPr>
        <w:pStyle w:val="BodyCopy"/>
      </w:pPr>
      <w:r>
        <w:t xml:space="preserve">Under the </w:t>
      </w:r>
      <w:r w:rsidR="0028395F">
        <w:t>IIARP-EP</w:t>
      </w:r>
      <w:r>
        <w:t xml:space="preserve">, funding is available for community pharmacies or hospital </w:t>
      </w:r>
      <w:r w:rsidRPr="00742BE7">
        <w:t>authorities</w:t>
      </w:r>
      <w:r>
        <w:t xml:space="preserve"> employing new graduates that participated in the IIARP </w:t>
      </w:r>
      <w:r w:rsidR="00E30E64">
        <w:t xml:space="preserve">for 12 months </w:t>
      </w:r>
      <w:r>
        <w:t xml:space="preserve">at their pharmacy in </w:t>
      </w:r>
      <w:proofErr w:type="spellStart"/>
      <w:r w:rsidR="0028395F">
        <w:t>PhARIA</w:t>
      </w:r>
      <w:proofErr w:type="spellEnd"/>
      <w:r w:rsidR="0028395F">
        <w:t xml:space="preserve"> </w:t>
      </w:r>
      <w:r>
        <w:t>4</w:t>
      </w:r>
      <w:r w:rsidR="00C02C28">
        <w:t>–</w:t>
      </w:r>
      <w:r>
        <w:t xml:space="preserve">6 areas. New graduates must be employed for a </w:t>
      </w:r>
      <w:r w:rsidR="0028395F">
        <w:t>continuous 12-month period beyond their intern year</w:t>
      </w:r>
      <w:r>
        <w:t>, for which a</w:t>
      </w:r>
      <w:r w:rsidR="0028395F">
        <w:t xml:space="preserve">n allowance of </w:t>
      </w:r>
      <w:r w:rsidR="0028395F">
        <w:rPr>
          <w:rFonts w:ascii="Times New Roman" w:hAnsi="Times New Roman"/>
        </w:rPr>
        <w:t>$</w:t>
      </w:r>
      <w:r w:rsidR="0028395F">
        <w:t>20,000 is available.</w:t>
      </w:r>
      <w:sdt>
        <w:sdtPr>
          <w:id w:val="1872958593"/>
          <w:citation/>
        </w:sdtPr>
        <w:sdtContent>
          <w:r>
            <w:fldChar w:fldCharType="begin"/>
          </w:r>
          <w:r>
            <w:instrText xml:space="preserve"> CITATION The153 \l 3081 </w:instrText>
          </w:r>
          <w:r>
            <w:fldChar w:fldCharType="separate"/>
          </w:r>
          <w:r w:rsidR="0089011F">
            <w:rPr>
              <w:noProof/>
            </w:rPr>
            <w:t xml:space="preserve"> </w:t>
          </w:r>
          <w:r w:rsidR="0089011F" w:rsidRPr="0089011F">
            <w:rPr>
              <w:noProof/>
            </w:rPr>
            <w:t>[41]</w:t>
          </w:r>
          <w:r>
            <w:fldChar w:fldCharType="end"/>
          </w:r>
        </w:sdtContent>
      </w:sdt>
    </w:p>
    <w:p w14:paraId="16BE9CB2" w14:textId="6DA7C31F" w:rsidR="00C5720C" w:rsidRDefault="00E30E64" w:rsidP="00C5720C">
      <w:pPr>
        <w:pStyle w:val="BodyCopy"/>
      </w:pPr>
      <w:r>
        <w:t>Under IIARP and IIARP-EP</w:t>
      </w:r>
      <w:r w:rsidR="00C02C28">
        <w:t>,</w:t>
      </w:r>
      <w:r>
        <w:t xml:space="preserve"> payments are made to the community pharmacy or hospital </w:t>
      </w:r>
      <w:r w:rsidRPr="00742BE7">
        <w:t>authority</w:t>
      </w:r>
      <w:r>
        <w:t xml:space="preserve"> in three stages </w:t>
      </w:r>
      <w:r w:rsidR="008D68C6">
        <w:t>for 12</w:t>
      </w:r>
      <w:r w:rsidR="00E92189">
        <w:t>-</w:t>
      </w:r>
      <w:r w:rsidR="008D68C6">
        <w:t xml:space="preserve">month allowances </w:t>
      </w:r>
      <w:r>
        <w:softHyphen/>
        <w:t>on approval, mid-way and upon completion</w:t>
      </w:r>
      <w:r w:rsidR="008D68C6">
        <w:t xml:space="preserve">. IIARP </w:t>
      </w:r>
      <w:r w:rsidR="00C02C28">
        <w:t>six</w:t>
      </w:r>
      <w:r w:rsidR="00E92189">
        <w:t>-</w:t>
      </w:r>
      <w:r w:rsidR="008D68C6">
        <w:t xml:space="preserve">month allowances are paid upon commencement and at completion. See </w:t>
      </w:r>
      <w:r w:rsidR="00EC4354">
        <w:fldChar w:fldCharType="begin"/>
      </w:r>
      <w:r w:rsidR="00EC4354">
        <w:instrText xml:space="preserve"> REF _Ref487116851 \h </w:instrText>
      </w:r>
      <w:r w:rsidR="00EC4354">
        <w:fldChar w:fldCharType="separate"/>
      </w:r>
      <w:r w:rsidR="00910E65">
        <w:t xml:space="preserve">Table </w:t>
      </w:r>
      <w:r w:rsidR="00910E65">
        <w:rPr>
          <w:noProof/>
        </w:rPr>
        <w:t>3</w:t>
      </w:r>
      <w:r w:rsidR="00910E65">
        <w:t>.</w:t>
      </w:r>
      <w:r w:rsidR="00910E65">
        <w:rPr>
          <w:noProof/>
        </w:rPr>
        <w:t>6</w:t>
      </w:r>
      <w:r w:rsidR="00EC4354">
        <w:fldChar w:fldCharType="end"/>
      </w:r>
      <w:r w:rsidR="00EC4354">
        <w:t xml:space="preserve">. </w:t>
      </w:r>
    </w:p>
    <w:p w14:paraId="298E05C6" w14:textId="4F3F194D" w:rsidR="008D68C6" w:rsidRPr="00EC4354" w:rsidRDefault="00EC4354" w:rsidP="00EC4354">
      <w:pPr>
        <w:pStyle w:val="Caption"/>
        <w:rPr>
          <w:rStyle w:val="Captionnotbold"/>
        </w:rPr>
      </w:pPr>
      <w:bookmarkStart w:id="62" w:name="_Ref487116851"/>
      <w:r>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3</w:t>
      </w:r>
      <w:r w:rsidR="00BC6E6C">
        <w:rPr>
          <w:noProof/>
        </w:rPr>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6</w:t>
      </w:r>
      <w:r w:rsidR="00BC6E6C">
        <w:rPr>
          <w:noProof/>
        </w:rPr>
        <w:fldChar w:fldCharType="end"/>
      </w:r>
      <w:bookmarkEnd w:id="62"/>
      <w:r>
        <w:t xml:space="preserve">: </w:t>
      </w:r>
      <w:r w:rsidRPr="00EC4354">
        <w:rPr>
          <w:rStyle w:val="Captionnotbold"/>
        </w:rPr>
        <w:t>Comparison of the IIARP and IIARP-EP allowances</w:t>
      </w:r>
    </w:p>
    <w:tbl>
      <w:tblPr>
        <w:tblStyle w:val="HMATable"/>
        <w:tblW w:w="5236" w:type="pct"/>
        <w:tblLook w:val="04A0" w:firstRow="1" w:lastRow="0" w:firstColumn="1" w:lastColumn="0" w:noHBand="0" w:noVBand="1"/>
        <w:tblCaption w:val="Table 3.6: Comparison of the IIARP and IIARP-EP allowances"/>
        <w:tblDescription w:val="Table 3.6: Comparison of the IIARP and IIARP-EP allowances"/>
      </w:tblPr>
      <w:tblGrid>
        <w:gridCol w:w="2033"/>
        <w:gridCol w:w="1674"/>
        <w:gridCol w:w="1675"/>
        <w:gridCol w:w="1984"/>
      </w:tblGrid>
      <w:tr w:rsidR="00EC4354" w14:paraId="014E4B29" w14:textId="77777777" w:rsidTr="0096004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380" w:type="pct"/>
          </w:tcPr>
          <w:p w14:paraId="48803DBE" w14:textId="77777777" w:rsidR="00EC4354" w:rsidRDefault="00EC4354" w:rsidP="008D68C6">
            <w:pPr>
              <w:pStyle w:val="TableColumnHeading"/>
            </w:pPr>
            <w:r>
              <w:t>Program</w:t>
            </w:r>
          </w:p>
        </w:tc>
        <w:tc>
          <w:tcPr>
            <w:tcW w:w="1136" w:type="pct"/>
          </w:tcPr>
          <w:p w14:paraId="7ACD806E" w14:textId="77777777" w:rsidR="00EC4354" w:rsidRDefault="00EC4354" w:rsidP="008D68C6">
            <w:pPr>
              <w:pStyle w:val="TableColumnHeading"/>
              <w:cnfStyle w:val="100000000000" w:firstRow="1" w:lastRow="0" w:firstColumn="0" w:lastColumn="0" w:oddVBand="0" w:evenVBand="0" w:oddHBand="0" w:evenHBand="0" w:firstRowFirstColumn="0" w:firstRowLastColumn="0" w:lastRowFirstColumn="0" w:lastRowLastColumn="0"/>
            </w:pPr>
            <w:r>
              <w:t xml:space="preserve">IIARP 6 month </w:t>
            </w:r>
          </w:p>
        </w:tc>
        <w:tc>
          <w:tcPr>
            <w:tcW w:w="1137" w:type="pct"/>
          </w:tcPr>
          <w:p w14:paraId="38C4F712" w14:textId="77777777" w:rsidR="00EC4354" w:rsidRDefault="00EC4354" w:rsidP="008D68C6">
            <w:pPr>
              <w:pStyle w:val="TableColumnHeading"/>
              <w:cnfStyle w:val="100000000000" w:firstRow="1" w:lastRow="0" w:firstColumn="0" w:lastColumn="0" w:oddVBand="0" w:evenVBand="0" w:oddHBand="0" w:evenHBand="0" w:firstRowFirstColumn="0" w:firstRowLastColumn="0" w:lastRowFirstColumn="0" w:lastRowLastColumn="0"/>
            </w:pPr>
            <w:r>
              <w:t xml:space="preserve">IIARP 12 month </w:t>
            </w:r>
          </w:p>
        </w:tc>
        <w:tc>
          <w:tcPr>
            <w:tcW w:w="1347" w:type="pct"/>
          </w:tcPr>
          <w:p w14:paraId="774731CC" w14:textId="77777777" w:rsidR="00EC4354" w:rsidRDefault="00EC4354" w:rsidP="008D68C6">
            <w:pPr>
              <w:pStyle w:val="TableColumnHeading"/>
              <w:cnfStyle w:val="100000000000" w:firstRow="1" w:lastRow="0" w:firstColumn="0" w:lastColumn="0" w:oddVBand="0" w:evenVBand="0" w:oddHBand="0" w:evenHBand="0" w:firstRowFirstColumn="0" w:firstRowLastColumn="0" w:lastRowFirstColumn="0" w:lastRowLastColumn="0"/>
            </w:pPr>
            <w:r>
              <w:t>IIARP-EP</w:t>
            </w:r>
          </w:p>
        </w:tc>
      </w:tr>
      <w:tr w:rsidR="00EC4354" w:rsidRPr="008D68C6" w14:paraId="34BA9A83" w14:textId="77777777" w:rsidTr="00EC4354">
        <w:tc>
          <w:tcPr>
            <w:cnfStyle w:val="001000000000" w:firstRow="0" w:lastRow="0" w:firstColumn="1" w:lastColumn="0" w:oddVBand="0" w:evenVBand="0" w:oddHBand="0" w:evenHBand="0" w:firstRowFirstColumn="0" w:firstRowLastColumn="0" w:lastRowFirstColumn="0" w:lastRowLastColumn="0"/>
            <w:tcW w:w="1380" w:type="pct"/>
          </w:tcPr>
          <w:p w14:paraId="33A614AD" w14:textId="77777777" w:rsidR="00EC4354" w:rsidRDefault="00EC4354" w:rsidP="008D68C6">
            <w:pPr>
              <w:pStyle w:val="TableCopy"/>
            </w:pPr>
            <w:r w:rsidRPr="008D68C6">
              <w:t xml:space="preserve">Commencement payment </w:t>
            </w:r>
          </w:p>
          <w:p w14:paraId="0573EDD8" w14:textId="13FF98A7" w:rsidR="00EC4354" w:rsidRPr="008D68C6" w:rsidRDefault="00EC4354" w:rsidP="008D68C6">
            <w:pPr>
              <w:pStyle w:val="TableCopy"/>
            </w:pPr>
            <w:r w:rsidRPr="00EC4354">
              <w:t xml:space="preserve">(reporting </w:t>
            </w:r>
            <w:r w:rsidR="00C02C28">
              <w:t>–</w:t>
            </w:r>
            <w:r w:rsidR="00C02C28" w:rsidRPr="00EC4354">
              <w:t xml:space="preserve"> </w:t>
            </w:r>
            <w:r w:rsidRPr="00EC4354">
              <w:t>application documentation)</w:t>
            </w:r>
          </w:p>
        </w:tc>
        <w:tc>
          <w:tcPr>
            <w:tcW w:w="1136" w:type="pct"/>
          </w:tcPr>
          <w:p w14:paraId="4B7830E7" w14:textId="47A7B65C" w:rsidR="00EC4354" w:rsidRPr="008D68C6" w:rsidRDefault="00A621DC" w:rsidP="008D68C6">
            <w:pPr>
              <w:pStyle w:val="TableCopy"/>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00EC4354" w:rsidRPr="008D68C6">
              <w:t>2,500</w:t>
            </w:r>
          </w:p>
        </w:tc>
        <w:tc>
          <w:tcPr>
            <w:tcW w:w="1137" w:type="pct"/>
          </w:tcPr>
          <w:p w14:paraId="5CF8DD4E" w14:textId="080BBA25" w:rsidR="00EC4354" w:rsidRPr="008D68C6" w:rsidRDefault="00A621DC" w:rsidP="008D68C6">
            <w:pPr>
              <w:pStyle w:val="TableCopy"/>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00EC4354" w:rsidRPr="008D68C6">
              <w:t>5,000</w:t>
            </w:r>
          </w:p>
        </w:tc>
        <w:tc>
          <w:tcPr>
            <w:tcW w:w="1347" w:type="pct"/>
          </w:tcPr>
          <w:p w14:paraId="524ED127" w14:textId="44F0E54C" w:rsidR="00EC4354" w:rsidRPr="008D68C6" w:rsidRDefault="00A621DC" w:rsidP="008D68C6">
            <w:pPr>
              <w:pStyle w:val="TableCopy"/>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00EC4354" w:rsidRPr="008D68C6">
              <w:t>10,000</w:t>
            </w:r>
          </w:p>
        </w:tc>
      </w:tr>
      <w:tr w:rsidR="00EC4354" w:rsidRPr="008D68C6" w14:paraId="51B77660" w14:textId="77777777" w:rsidTr="00EC4354">
        <w:tc>
          <w:tcPr>
            <w:cnfStyle w:val="001000000000" w:firstRow="0" w:lastRow="0" w:firstColumn="1" w:lastColumn="0" w:oddVBand="0" w:evenVBand="0" w:oddHBand="0" w:evenHBand="0" w:firstRowFirstColumn="0" w:firstRowLastColumn="0" w:lastRowFirstColumn="0" w:lastRowLastColumn="0"/>
            <w:tcW w:w="1380" w:type="pct"/>
          </w:tcPr>
          <w:p w14:paraId="75C66928" w14:textId="77777777" w:rsidR="00EC4354" w:rsidRDefault="00EC4354" w:rsidP="008D68C6">
            <w:pPr>
              <w:pStyle w:val="TableCopy"/>
            </w:pPr>
            <w:r w:rsidRPr="008D68C6">
              <w:t xml:space="preserve">Mid-payment </w:t>
            </w:r>
          </w:p>
          <w:p w14:paraId="57BD0E01" w14:textId="77777777" w:rsidR="00EC4354" w:rsidRPr="00EC4354" w:rsidRDefault="00EC4354" w:rsidP="008D68C6">
            <w:pPr>
              <w:pStyle w:val="TableCopy"/>
              <w:rPr>
                <w:b w:val="0"/>
              </w:rPr>
            </w:pPr>
            <w:r w:rsidRPr="00EC4354">
              <w:t>(reporting – pharmacist only)</w:t>
            </w:r>
          </w:p>
        </w:tc>
        <w:tc>
          <w:tcPr>
            <w:tcW w:w="1136" w:type="pct"/>
          </w:tcPr>
          <w:p w14:paraId="0ACF1A8D" w14:textId="77777777" w:rsidR="00EC4354" w:rsidRPr="008D68C6" w:rsidRDefault="00EC4354" w:rsidP="008D68C6">
            <w:pPr>
              <w:pStyle w:val="TableCopy"/>
              <w:cnfStyle w:val="000000000000" w:firstRow="0" w:lastRow="0" w:firstColumn="0" w:lastColumn="0" w:oddVBand="0" w:evenVBand="0" w:oddHBand="0" w:evenHBand="0" w:firstRowFirstColumn="0" w:firstRowLastColumn="0" w:lastRowFirstColumn="0" w:lastRowLastColumn="0"/>
            </w:pPr>
            <w:r w:rsidRPr="008D68C6">
              <w:t>n/a</w:t>
            </w:r>
          </w:p>
        </w:tc>
        <w:tc>
          <w:tcPr>
            <w:tcW w:w="1137" w:type="pct"/>
          </w:tcPr>
          <w:p w14:paraId="463A5310" w14:textId="689975DD" w:rsidR="00EC4354" w:rsidRPr="008D68C6" w:rsidRDefault="00A621DC" w:rsidP="008D68C6">
            <w:pPr>
              <w:pStyle w:val="TableCopy"/>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00EC4354" w:rsidRPr="008D68C6">
              <w:t>2,500</w:t>
            </w:r>
          </w:p>
        </w:tc>
        <w:tc>
          <w:tcPr>
            <w:tcW w:w="1347" w:type="pct"/>
          </w:tcPr>
          <w:p w14:paraId="46915D5C" w14:textId="77777777" w:rsidR="00EC4354" w:rsidRPr="008D68C6" w:rsidRDefault="00EC4354" w:rsidP="008D68C6">
            <w:pPr>
              <w:pStyle w:val="TableCopy"/>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t>5,000</w:t>
            </w:r>
          </w:p>
        </w:tc>
      </w:tr>
      <w:tr w:rsidR="00EC4354" w:rsidRPr="008D68C6" w14:paraId="39735FA4" w14:textId="77777777" w:rsidTr="00EC4354">
        <w:tc>
          <w:tcPr>
            <w:cnfStyle w:val="001000000000" w:firstRow="0" w:lastRow="0" w:firstColumn="1" w:lastColumn="0" w:oddVBand="0" w:evenVBand="0" w:oddHBand="0" w:evenHBand="0" w:firstRowFirstColumn="0" w:firstRowLastColumn="0" w:lastRowFirstColumn="0" w:lastRowLastColumn="0"/>
            <w:tcW w:w="1380" w:type="pct"/>
          </w:tcPr>
          <w:p w14:paraId="0645268E" w14:textId="77777777" w:rsidR="00EC4354" w:rsidRDefault="00EC4354" w:rsidP="008D68C6">
            <w:pPr>
              <w:pStyle w:val="TableCopy"/>
            </w:pPr>
            <w:r w:rsidRPr="008D68C6">
              <w:t xml:space="preserve">Completion payment </w:t>
            </w:r>
          </w:p>
          <w:p w14:paraId="25E4DBB9" w14:textId="77777777" w:rsidR="00EC4354" w:rsidRPr="008D68C6" w:rsidRDefault="00EC4354" w:rsidP="008D68C6">
            <w:pPr>
              <w:pStyle w:val="TableCopy"/>
            </w:pPr>
            <w:r>
              <w:t>(</w:t>
            </w:r>
            <w:r w:rsidRPr="00EC4354">
              <w:t>reporting – pharmacist and intern / new graduate reports)</w:t>
            </w:r>
            <w:r>
              <w:t xml:space="preserve"> (</w:t>
            </w:r>
          </w:p>
        </w:tc>
        <w:tc>
          <w:tcPr>
            <w:tcW w:w="1136" w:type="pct"/>
          </w:tcPr>
          <w:p w14:paraId="57CDFC48" w14:textId="624B96A5" w:rsidR="00EC4354" w:rsidRPr="008D68C6" w:rsidRDefault="00A621DC" w:rsidP="008D68C6">
            <w:pPr>
              <w:pStyle w:val="TableCopy"/>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00EC4354" w:rsidRPr="008D68C6">
              <w:t>2,500</w:t>
            </w:r>
          </w:p>
        </w:tc>
        <w:tc>
          <w:tcPr>
            <w:tcW w:w="1137" w:type="pct"/>
          </w:tcPr>
          <w:p w14:paraId="14543937" w14:textId="08DF1F59" w:rsidR="00EC4354" w:rsidRPr="008D68C6" w:rsidRDefault="00A621DC" w:rsidP="009A65BB">
            <w:pPr>
              <w:pStyle w:val="TableCopy"/>
              <w:spacing w:line="360" w:lineRule="auto"/>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00EC4354" w:rsidRPr="008D68C6">
              <w:t>2,500</w:t>
            </w:r>
          </w:p>
        </w:tc>
        <w:tc>
          <w:tcPr>
            <w:tcW w:w="1347" w:type="pct"/>
          </w:tcPr>
          <w:p w14:paraId="7E23AB66" w14:textId="77777777" w:rsidR="00EC4354" w:rsidRPr="008D68C6" w:rsidRDefault="00EC4354" w:rsidP="008D68C6">
            <w:pPr>
              <w:pStyle w:val="TableCopy"/>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t>5,000</w:t>
            </w:r>
          </w:p>
        </w:tc>
      </w:tr>
      <w:tr w:rsidR="00EC4354" w:rsidRPr="008D68C6" w14:paraId="66AFE3DD" w14:textId="77777777" w:rsidTr="00EC4354">
        <w:tc>
          <w:tcPr>
            <w:cnfStyle w:val="001000000000" w:firstRow="0" w:lastRow="0" w:firstColumn="1" w:lastColumn="0" w:oddVBand="0" w:evenVBand="0" w:oddHBand="0" w:evenHBand="0" w:firstRowFirstColumn="0" w:firstRowLastColumn="0" w:lastRowFirstColumn="0" w:lastRowLastColumn="0"/>
            <w:tcW w:w="1380" w:type="pct"/>
          </w:tcPr>
          <w:p w14:paraId="1A28EC86" w14:textId="77777777" w:rsidR="00EC4354" w:rsidRPr="008D68C6" w:rsidRDefault="00EC4354" w:rsidP="008D68C6">
            <w:pPr>
              <w:pStyle w:val="TableCopy"/>
            </w:pPr>
            <w:r w:rsidRPr="008D68C6">
              <w:t xml:space="preserve">Total funds </w:t>
            </w:r>
          </w:p>
        </w:tc>
        <w:tc>
          <w:tcPr>
            <w:tcW w:w="1136" w:type="pct"/>
          </w:tcPr>
          <w:p w14:paraId="2F069145" w14:textId="77777777" w:rsidR="00EC4354" w:rsidRPr="008D68C6" w:rsidRDefault="00EC4354" w:rsidP="008D68C6">
            <w:pPr>
              <w:pStyle w:val="TableCopy"/>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t>5,000</w:t>
            </w:r>
          </w:p>
        </w:tc>
        <w:tc>
          <w:tcPr>
            <w:tcW w:w="1137" w:type="pct"/>
          </w:tcPr>
          <w:p w14:paraId="29FFCD93" w14:textId="77777777" w:rsidR="00EC4354" w:rsidRPr="008D68C6" w:rsidRDefault="00117FAA" w:rsidP="008D68C6">
            <w:pPr>
              <w:pStyle w:val="TableCopy"/>
              <w:cnfStyle w:val="000000000000" w:firstRow="0" w:lastRow="0" w:firstColumn="0" w:lastColumn="0" w:oddVBand="0" w:evenVBand="0" w:oddHBand="0" w:evenHBand="0" w:firstRowFirstColumn="0" w:firstRowLastColumn="0" w:lastRowFirstColumn="0" w:lastRowLastColumn="0"/>
            </w:pPr>
            <w:r>
              <w:rPr>
                <w:rFonts w:ascii="Times New Roman" w:hAnsi="Times New Roman"/>
              </w:rPr>
              <w:t xml:space="preserve">up to </w:t>
            </w:r>
            <w:r w:rsidR="00EC4354">
              <w:rPr>
                <w:rFonts w:ascii="Times New Roman" w:hAnsi="Times New Roman"/>
              </w:rPr>
              <w:t>$</w:t>
            </w:r>
            <w:r w:rsidR="00EC4354">
              <w:t>10,000</w:t>
            </w:r>
          </w:p>
        </w:tc>
        <w:tc>
          <w:tcPr>
            <w:tcW w:w="1347" w:type="pct"/>
          </w:tcPr>
          <w:p w14:paraId="557E3B25" w14:textId="77777777" w:rsidR="00EC4354" w:rsidRPr="008D68C6" w:rsidRDefault="00EC4354" w:rsidP="008D68C6">
            <w:pPr>
              <w:pStyle w:val="TableCopy"/>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t>20,000</w:t>
            </w:r>
          </w:p>
        </w:tc>
      </w:tr>
      <w:tr w:rsidR="00EC4354" w:rsidRPr="008D68C6" w14:paraId="720EB833" w14:textId="77777777" w:rsidTr="00EC4354">
        <w:tc>
          <w:tcPr>
            <w:cnfStyle w:val="001000000000" w:firstRow="0" w:lastRow="0" w:firstColumn="1" w:lastColumn="0" w:oddVBand="0" w:evenVBand="0" w:oddHBand="0" w:evenHBand="0" w:firstRowFirstColumn="0" w:firstRowLastColumn="0" w:lastRowFirstColumn="0" w:lastRowLastColumn="0"/>
            <w:tcW w:w="1380" w:type="pct"/>
          </w:tcPr>
          <w:p w14:paraId="04C584EF" w14:textId="77777777" w:rsidR="00EC4354" w:rsidRPr="008D68C6" w:rsidRDefault="00EC4354" w:rsidP="008D68C6">
            <w:pPr>
              <w:pStyle w:val="TableCopy"/>
            </w:pPr>
            <w:r>
              <w:t xml:space="preserve">Length </w:t>
            </w:r>
          </w:p>
        </w:tc>
        <w:tc>
          <w:tcPr>
            <w:tcW w:w="1136" w:type="pct"/>
          </w:tcPr>
          <w:p w14:paraId="28896AAA" w14:textId="77777777" w:rsidR="00EC4354" w:rsidRPr="008D68C6" w:rsidRDefault="00EC4354" w:rsidP="008D68C6">
            <w:pPr>
              <w:pStyle w:val="TableCopy"/>
              <w:cnfStyle w:val="000000000000" w:firstRow="0" w:lastRow="0" w:firstColumn="0" w:lastColumn="0" w:oddVBand="0" w:evenVBand="0" w:oddHBand="0" w:evenHBand="0" w:firstRowFirstColumn="0" w:firstRowLastColumn="0" w:lastRowFirstColumn="0" w:lastRowLastColumn="0"/>
            </w:pPr>
            <w:r>
              <w:t>6 months</w:t>
            </w:r>
          </w:p>
        </w:tc>
        <w:tc>
          <w:tcPr>
            <w:tcW w:w="1137" w:type="pct"/>
          </w:tcPr>
          <w:p w14:paraId="3ACDCB2F" w14:textId="4F8FF990" w:rsidR="00EC4354" w:rsidRPr="008D68C6" w:rsidRDefault="00EC4354" w:rsidP="008D68C6">
            <w:pPr>
              <w:pStyle w:val="TableCopy"/>
              <w:cnfStyle w:val="000000000000" w:firstRow="0" w:lastRow="0" w:firstColumn="0" w:lastColumn="0" w:oddVBand="0" w:evenVBand="0" w:oddHBand="0" w:evenHBand="0" w:firstRowFirstColumn="0" w:firstRowLastColumn="0" w:lastRowFirstColumn="0" w:lastRowLastColumn="0"/>
            </w:pPr>
            <w:r>
              <w:t>6</w:t>
            </w:r>
            <w:r w:rsidR="00C02C28">
              <w:t>–</w:t>
            </w:r>
            <w:r>
              <w:t xml:space="preserve">12 months </w:t>
            </w:r>
          </w:p>
        </w:tc>
        <w:tc>
          <w:tcPr>
            <w:tcW w:w="1347" w:type="pct"/>
          </w:tcPr>
          <w:p w14:paraId="03F8923C" w14:textId="77777777" w:rsidR="00EC4354" w:rsidRPr="008D68C6" w:rsidRDefault="00EC4354" w:rsidP="008D68C6">
            <w:pPr>
              <w:pStyle w:val="TableCopy"/>
              <w:cnfStyle w:val="000000000000" w:firstRow="0" w:lastRow="0" w:firstColumn="0" w:lastColumn="0" w:oddVBand="0" w:evenVBand="0" w:oddHBand="0" w:evenHBand="0" w:firstRowFirstColumn="0" w:firstRowLastColumn="0" w:lastRowFirstColumn="0" w:lastRowLastColumn="0"/>
            </w:pPr>
            <w:r>
              <w:t>12 months</w:t>
            </w:r>
          </w:p>
        </w:tc>
      </w:tr>
      <w:tr w:rsidR="0096004C" w:rsidRPr="008D68C6" w14:paraId="25F8489C" w14:textId="77777777" w:rsidTr="0096004C">
        <w:tc>
          <w:tcPr>
            <w:cnfStyle w:val="001000000000" w:firstRow="0" w:lastRow="0" w:firstColumn="1" w:lastColumn="0" w:oddVBand="0" w:evenVBand="0" w:oddHBand="0" w:evenHBand="0" w:firstRowFirstColumn="0" w:firstRowLastColumn="0" w:lastRowFirstColumn="0" w:lastRowLastColumn="0"/>
            <w:tcW w:w="1380" w:type="pct"/>
          </w:tcPr>
          <w:p w14:paraId="39BD6368" w14:textId="77777777" w:rsidR="0096004C" w:rsidRDefault="0096004C" w:rsidP="008D68C6">
            <w:pPr>
              <w:pStyle w:val="TableCopy"/>
            </w:pPr>
            <w:proofErr w:type="spellStart"/>
            <w:r>
              <w:t>PhARIA</w:t>
            </w:r>
            <w:proofErr w:type="spellEnd"/>
            <w:r>
              <w:t xml:space="preserve"> </w:t>
            </w:r>
          </w:p>
        </w:tc>
        <w:tc>
          <w:tcPr>
            <w:tcW w:w="1136" w:type="pct"/>
          </w:tcPr>
          <w:p w14:paraId="79B0D1C7" w14:textId="77777777" w:rsidR="0096004C" w:rsidRDefault="0096004C" w:rsidP="008D68C6">
            <w:pPr>
              <w:pStyle w:val="TableCopy"/>
              <w:cnfStyle w:val="000000000000" w:firstRow="0" w:lastRow="0" w:firstColumn="0" w:lastColumn="0" w:oddVBand="0" w:evenVBand="0" w:oddHBand="0" w:evenHBand="0" w:firstRowFirstColumn="0" w:firstRowLastColumn="0" w:lastRowFirstColumn="0" w:lastRowLastColumn="0"/>
            </w:pPr>
            <w:r>
              <w:t>2–6</w:t>
            </w:r>
          </w:p>
        </w:tc>
        <w:tc>
          <w:tcPr>
            <w:tcW w:w="1137" w:type="pct"/>
          </w:tcPr>
          <w:p w14:paraId="319B4F65" w14:textId="4BA4EE8E" w:rsidR="0096004C" w:rsidRDefault="0096004C" w:rsidP="008D68C6">
            <w:pPr>
              <w:pStyle w:val="TableCopy"/>
              <w:cnfStyle w:val="000000000000" w:firstRow="0" w:lastRow="0" w:firstColumn="0" w:lastColumn="0" w:oddVBand="0" w:evenVBand="0" w:oddHBand="0" w:evenHBand="0" w:firstRowFirstColumn="0" w:firstRowLastColumn="0" w:lastRowFirstColumn="0" w:lastRowLastColumn="0"/>
            </w:pPr>
            <w:r>
              <w:t>2–6</w:t>
            </w:r>
          </w:p>
        </w:tc>
        <w:tc>
          <w:tcPr>
            <w:tcW w:w="1347" w:type="pct"/>
          </w:tcPr>
          <w:p w14:paraId="2E419B87" w14:textId="1B74F01A" w:rsidR="0096004C" w:rsidRDefault="0096004C" w:rsidP="008D68C6">
            <w:pPr>
              <w:pStyle w:val="TableCopy"/>
              <w:cnfStyle w:val="000000000000" w:firstRow="0" w:lastRow="0" w:firstColumn="0" w:lastColumn="0" w:oddVBand="0" w:evenVBand="0" w:oddHBand="0" w:evenHBand="0" w:firstRowFirstColumn="0" w:firstRowLastColumn="0" w:lastRowFirstColumn="0" w:lastRowLastColumn="0"/>
            </w:pPr>
            <w:r>
              <w:t>4–6</w:t>
            </w:r>
          </w:p>
        </w:tc>
      </w:tr>
      <w:tr w:rsidR="0096004C" w:rsidRPr="008D68C6" w14:paraId="40DB8DE4" w14:textId="77777777" w:rsidTr="0096004C">
        <w:tc>
          <w:tcPr>
            <w:cnfStyle w:val="001000000000" w:firstRow="0" w:lastRow="0" w:firstColumn="1" w:lastColumn="0" w:oddVBand="0" w:evenVBand="0" w:oddHBand="0" w:evenHBand="0" w:firstRowFirstColumn="0" w:firstRowLastColumn="0" w:lastRowFirstColumn="0" w:lastRowLastColumn="0"/>
            <w:tcW w:w="1380" w:type="pct"/>
          </w:tcPr>
          <w:p w14:paraId="410655D9" w14:textId="77777777" w:rsidR="0096004C" w:rsidRPr="008D68C6" w:rsidRDefault="0096004C" w:rsidP="0096004C">
            <w:pPr>
              <w:pStyle w:val="TableCopy"/>
            </w:pPr>
            <w:r>
              <w:t>Intern / new graduate prerequisite</w:t>
            </w:r>
          </w:p>
        </w:tc>
        <w:tc>
          <w:tcPr>
            <w:tcW w:w="1136" w:type="pct"/>
          </w:tcPr>
          <w:p w14:paraId="5FCA7D12" w14:textId="77777777" w:rsidR="0096004C" w:rsidRPr="008D68C6" w:rsidRDefault="0096004C" w:rsidP="0096004C">
            <w:pPr>
              <w:pStyle w:val="TableCopy"/>
              <w:cnfStyle w:val="000000000000" w:firstRow="0" w:lastRow="0" w:firstColumn="0" w:lastColumn="0" w:oddVBand="0" w:evenVBand="0" w:oddHBand="0" w:evenHBand="0" w:firstRowFirstColumn="0" w:firstRowLastColumn="0" w:lastRowFirstColumn="0" w:lastRowLastColumn="0"/>
            </w:pPr>
            <w:r>
              <w:t xml:space="preserve">Completed Pharmacy Board of Australia approved course and eligible to undertake intern training  </w:t>
            </w:r>
          </w:p>
        </w:tc>
        <w:tc>
          <w:tcPr>
            <w:tcW w:w="1137" w:type="pct"/>
          </w:tcPr>
          <w:p w14:paraId="2B18431F" w14:textId="30FB37A9" w:rsidR="0096004C" w:rsidRPr="008D68C6" w:rsidRDefault="0096004C" w:rsidP="0096004C">
            <w:pPr>
              <w:pStyle w:val="TableCopy"/>
              <w:cnfStyle w:val="000000000000" w:firstRow="0" w:lastRow="0" w:firstColumn="0" w:lastColumn="0" w:oddVBand="0" w:evenVBand="0" w:oddHBand="0" w:evenHBand="0" w:firstRowFirstColumn="0" w:firstRowLastColumn="0" w:lastRowFirstColumn="0" w:lastRowLastColumn="0"/>
            </w:pPr>
            <w:r>
              <w:t xml:space="preserve">Completed Pharmacy Board of Australia approved course and eligible to undertake intern training  </w:t>
            </w:r>
          </w:p>
        </w:tc>
        <w:tc>
          <w:tcPr>
            <w:tcW w:w="1347" w:type="pct"/>
          </w:tcPr>
          <w:p w14:paraId="5CD3B535" w14:textId="77777777" w:rsidR="0096004C" w:rsidRPr="008D68C6" w:rsidRDefault="0096004C" w:rsidP="0096004C">
            <w:pPr>
              <w:pStyle w:val="TableCopy"/>
              <w:cnfStyle w:val="000000000000" w:firstRow="0" w:lastRow="0" w:firstColumn="0" w:lastColumn="0" w:oddVBand="0" w:evenVBand="0" w:oddHBand="0" w:evenHBand="0" w:firstRowFirstColumn="0" w:firstRowLastColumn="0" w:lastRowFirstColumn="0" w:lastRowLastColumn="0"/>
            </w:pPr>
            <w:r>
              <w:t xml:space="preserve">Participated in IIARP for 12 months at the same pharmacy </w:t>
            </w:r>
          </w:p>
        </w:tc>
      </w:tr>
    </w:tbl>
    <w:p w14:paraId="41DF4349" w14:textId="77777777" w:rsidR="00C5720C" w:rsidRDefault="00C5720C" w:rsidP="00DA5675">
      <w:pPr>
        <w:pStyle w:val="Heading4"/>
      </w:pPr>
      <w:r w:rsidRPr="0041222C">
        <w:t>Program volumes</w:t>
      </w:r>
    </w:p>
    <w:p w14:paraId="2D253118" w14:textId="1F4FCBD0" w:rsidR="00B346A5" w:rsidRDefault="005C4810" w:rsidP="00C5720C">
      <w:pPr>
        <w:pStyle w:val="BodyCopy"/>
      </w:pPr>
      <w:r>
        <w:t xml:space="preserve">Over the four calendar years for which IIARP program data was available, 272 IIARP allowances commenced. This equates to an average of 68 IIARP per year (range from 61 in 2012 to 77 in 2014). The majority </w:t>
      </w:r>
      <w:r w:rsidR="00C02C28">
        <w:t xml:space="preserve">of </w:t>
      </w:r>
      <w:r>
        <w:t xml:space="preserve">IIARP allowances were for the full 12 months </w:t>
      </w:r>
      <w:r w:rsidR="0041222C">
        <w:t xml:space="preserve">(251 allowances, 92.3%). See </w:t>
      </w:r>
      <w:r w:rsidR="0041222C">
        <w:fldChar w:fldCharType="begin"/>
      </w:r>
      <w:r w:rsidR="0041222C">
        <w:instrText xml:space="preserve"> REF _Ref487125188 \h </w:instrText>
      </w:r>
      <w:r w:rsidR="0041222C">
        <w:fldChar w:fldCharType="separate"/>
      </w:r>
      <w:r w:rsidR="00910E65">
        <w:t xml:space="preserve">Table </w:t>
      </w:r>
      <w:r w:rsidR="00910E65">
        <w:rPr>
          <w:noProof/>
        </w:rPr>
        <w:t>3</w:t>
      </w:r>
      <w:r w:rsidR="00910E65">
        <w:t>.</w:t>
      </w:r>
      <w:r w:rsidR="00910E65">
        <w:rPr>
          <w:noProof/>
        </w:rPr>
        <w:t>7</w:t>
      </w:r>
      <w:r w:rsidR="0041222C">
        <w:fldChar w:fldCharType="end"/>
      </w:r>
      <w:r w:rsidR="0041222C">
        <w:t xml:space="preserve">. </w:t>
      </w:r>
    </w:p>
    <w:p w14:paraId="06D93CF0" w14:textId="3ECEB7C3" w:rsidR="0041222C" w:rsidRDefault="0041222C" w:rsidP="00C5720C">
      <w:pPr>
        <w:pStyle w:val="BodyCopy"/>
      </w:pPr>
      <w:r>
        <w:lastRenderedPageBreak/>
        <w:t>The IIARP-EP program has an annual cap of 10 allowances per financial year. However, this maximum was only reached in the 2015</w:t>
      </w:r>
      <w:r w:rsidR="00C02C28">
        <w:t>–</w:t>
      </w:r>
      <w:r>
        <w:t xml:space="preserve">16 financial year. The data in </w:t>
      </w:r>
      <w:r>
        <w:fldChar w:fldCharType="begin"/>
      </w:r>
      <w:r>
        <w:instrText xml:space="preserve"> REF _Ref487125188 \h </w:instrText>
      </w:r>
      <w:r>
        <w:fldChar w:fldCharType="separate"/>
      </w:r>
      <w:r w:rsidR="00910E65">
        <w:t xml:space="preserve">Table </w:t>
      </w:r>
      <w:r w:rsidR="00910E65">
        <w:rPr>
          <w:noProof/>
        </w:rPr>
        <w:t>3</w:t>
      </w:r>
      <w:r w:rsidR="00910E65">
        <w:t>.</w:t>
      </w:r>
      <w:r w:rsidR="00910E65">
        <w:rPr>
          <w:noProof/>
        </w:rPr>
        <w:t>7</w:t>
      </w:r>
      <w:r>
        <w:fldChar w:fldCharType="end"/>
      </w:r>
      <w:r>
        <w:t xml:space="preserve"> is presented by calendar year (of commencement date) for consistency with the IIARP program data. This shows that from 2012 to 2015, a total of 26 IIARP-EP allowances were funded, equating to an average of 6.5 per year (range 5 in 2014 to 8 in 2012). </w:t>
      </w:r>
    </w:p>
    <w:p w14:paraId="57038725" w14:textId="082B899C" w:rsidR="00B346A5" w:rsidRPr="0041222C" w:rsidRDefault="0041222C" w:rsidP="0041222C">
      <w:pPr>
        <w:pStyle w:val="Caption"/>
        <w:rPr>
          <w:rStyle w:val="Captionnotbold"/>
        </w:rPr>
      </w:pPr>
      <w:bookmarkStart w:id="63" w:name="_Ref487125188"/>
      <w:r>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3</w:t>
      </w:r>
      <w:r w:rsidR="00BC6E6C">
        <w:rPr>
          <w:noProof/>
        </w:rPr>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7</w:t>
      </w:r>
      <w:r w:rsidR="00BC6E6C">
        <w:rPr>
          <w:noProof/>
        </w:rPr>
        <w:fldChar w:fldCharType="end"/>
      </w:r>
      <w:bookmarkEnd w:id="63"/>
      <w:r>
        <w:t xml:space="preserve">: </w:t>
      </w:r>
      <w:r w:rsidRPr="0041222C">
        <w:rPr>
          <w:rStyle w:val="Captionnotbold"/>
        </w:rPr>
        <w:t xml:space="preserve">IIARP and IIARP-EP allowances by calendar year </w:t>
      </w:r>
    </w:p>
    <w:tbl>
      <w:tblPr>
        <w:tblStyle w:val="HMATable"/>
        <w:tblW w:w="4303" w:type="pct"/>
        <w:jc w:val="center"/>
        <w:tblLayout w:type="fixed"/>
        <w:tblLook w:val="04E0" w:firstRow="1" w:lastRow="1" w:firstColumn="1" w:lastColumn="0" w:noHBand="0" w:noVBand="1"/>
        <w:tblCaption w:val="Table 3.7: IIARP and IIARP-EP allowances by calendar year"/>
        <w:tblDescription w:val="Table 3.7: IIARP and IIARP-EP allowances by calendar year"/>
      </w:tblPr>
      <w:tblGrid>
        <w:gridCol w:w="1258"/>
        <w:gridCol w:w="962"/>
        <w:gridCol w:w="962"/>
        <w:gridCol w:w="962"/>
        <w:gridCol w:w="956"/>
        <w:gridCol w:w="953"/>
      </w:tblGrid>
      <w:tr w:rsidR="005C4810" w:rsidRPr="00B346A5" w14:paraId="5B5FAAAA" w14:textId="77777777" w:rsidTr="00F71512">
        <w:trPr>
          <w:cnfStyle w:val="100000000000" w:firstRow="1" w:lastRow="0" w:firstColumn="0" w:lastColumn="0" w:oddVBand="0" w:evenVBand="0" w:oddHBand="0" w:evenHBand="0" w:firstRowFirstColumn="0" w:firstRowLastColumn="0" w:lastRowFirstColumn="0" w:lastRowLastColumn="0"/>
          <w:trHeight w:val="285"/>
          <w:tblHeader/>
          <w:jc w:val="center"/>
        </w:trPr>
        <w:tc>
          <w:tcPr>
            <w:cnfStyle w:val="001000000100" w:firstRow="0" w:lastRow="0" w:firstColumn="1" w:lastColumn="0" w:oddVBand="0" w:evenVBand="0" w:oddHBand="0" w:evenHBand="0" w:firstRowFirstColumn="1" w:firstRowLastColumn="0" w:lastRowFirstColumn="0" w:lastRowLastColumn="0"/>
            <w:tcW w:w="1038" w:type="pct"/>
            <w:noWrap/>
            <w:hideMark/>
          </w:tcPr>
          <w:p w14:paraId="3D648CFA" w14:textId="16FC7170" w:rsidR="005C4810" w:rsidRPr="00B346A5" w:rsidRDefault="005C4810" w:rsidP="005C4810">
            <w:pPr>
              <w:pStyle w:val="TableColumnHeading"/>
              <w:rPr>
                <w:lang w:eastAsia="en-AU"/>
              </w:rPr>
            </w:pPr>
          </w:p>
        </w:tc>
        <w:tc>
          <w:tcPr>
            <w:tcW w:w="3174" w:type="pct"/>
            <w:gridSpan w:val="4"/>
          </w:tcPr>
          <w:p w14:paraId="55813A4C" w14:textId="77777777" w:rsidR="005C4810" w:rsidRPr="00B346A5" w:rsidRDefault="005C4810" w:rsidP="005C4810">
            <w:pPr>
              <w:pStyle w:val="TableColumnHeading"/>
              <w:jc w:val="center"/>
              <w:cnfStyle w:val="100000000000" w:firstRow="1" w:lastRow="0" w:firstColumn="0" w:lastColumn="0" w:oddVBand="0" w:evenVBand="0" w:oddHBand="0" w:evenHBand="0" w:firstRowFirstColumn="0" w:firstRowLastColumn="0" w:lastRowFirstColumn="0" w:lastRowLastColumn="0"/>
              <w:rPr>
                <w:lang w:eastAsia="en-AU"/>
              </w:rPr>
            </w:pPr>
            <w:r>
              <w:rPr>
                <w:lang w:eastAsia="en-AU"/>
              </w:rPr>
              <w:t>IIARP</w:t>
            </w:r>
          </w:p>
        </w:tc>
        <w:tc>
          <w:tcPr>
            <w:tcW w:w="788" w:type="pct"/>
          </w:tcPr>
          <w:p w14:paraId="59A64987" w14:textId="1A96CE7D" w:rsidR="005C4810" w:rsidRDefault="005C4810" w:rsidP="005C4810">
            <w:pPr>
              <w:pStyle w:val="TableColumnHeading"/>
              <w:jc w:val="center"/>
              <w:cnfStyle w:val="100000000000" w:firstRow="1" w:lastRow="0" w:firstColumn="0" w:lastColumn="0" w:oddVBand="0" w:evenVBand="0" w:oddHBand="0" w:evenHBand="0" w:firstRowFirstColumn="0" w:firstRowLastColumn="0" w:lastRowFirstColumn="0" w:lastRowLastColumn="0"/>
              <w:rPr>
                <w:lang w:eastAsia="en-AU"/>
              </w:rPr>
            </w:pPr>
          </w:p>
        </w:tc>
      </w:tr>
      <w:tr w:rsidR="005C4810" w:rsidRPr="00B346A5" w14:paraId="233800BA" w14:textId="77777777" w:rsidTr="00EC343A">
        <w:trPr>
          <w:trHeight w:val="285"/>
          <w:jc w:val="center"/>
        </w:trPr>
        <w:tc>
          <w:tcPr>
            <w:cnfStyle w:val="001000000000" w:firstRow="0" w:lastRow="0" w:firstColumn="1" w:lastColumn="0" w:oddVBand="0" w:evenVBand="0" w:oddHBand="0" w:evenHBand="0" w:firstRowFirstColumn="0" w:firstRowLastColumn="0" w:lastRowFirstColumn="0" w:lastRowLastColumn="0"/>
            <w:tcW w:w="1038" w:type="pct"/>
            <w:shd w:val="clear" w:color="auto" w:fill="BEBEBE" w:themeFill="accent5"/>
            <w:noWrap/>
          </w:tcPr>
          <w:p w14:paraId="002327CF" w14:textId="6D9896A6" w:rsidR="005C4810" w:rsidRDefault="00EC343A" w:rsidP="005C4810">
            <w:pPr>
              <w:pStyle w:val="TableColumnHeading"/>
              <w:rPr>
                <w:lang w:eastAsia="en-AU"/>
              </w:rPr>
            </w:pPr>
            <w:r>
              <w:rPr>
                <w:lang w:eastAsia="en-AU"/>
              </w:rPr>
              <w:t>Start year</w:t>
            </w:r>
          </w:p>
        </w:tc>
        <w:tc>
          <w:tcPr>
            <w:tcW w:w="795" w:type="pct"/>
          </w:tcPr>
          <w:p w14:paraId="5FBAE0D3" w14:textId="77777777" w:rsidR="005C4810" w:rsidRDefault="005C4810" w:rsidP="005C4810">
            <w:pPr>
              <w:pStyle w:val="TableColumnHeading"/>
              <w:jc w:val="center"/>
              <w:cnfStyle w:val="000000000000" w:firstRow="0" w:lastRow="0" w:firstColumn="0" w:lastColumn="0" w:oddVBand="0" w:evenVBand="0" w:oddHBand="0" w:evenHBand="0" w:firstRowFirstColumn="0" w:firstRowLastColumn="0" w:lastRowFirstColumn="0" w:lastRowLastColumn="0"/>
              <w:rPr>
                <w:lang w:eastAsia="en-AU"/>
              </w:rPr>
            </w:pPr>
            <w:r>
              <w:rPr>
                <w:lang w:eastAsia="en-AU"/>
              </w:rPr>
              <w:t>6 months</w:t>
            </w:r>
          </w:p>
        </w:tc>
        <w:tc>
          <w:tcPr>
            <w:tcW w:w="795" w:type="pct"/>
          </w:tcPr>
          <w:p w14:paraId="1F4FFA70" w14:textId="35242D26" w:rsidR="005C4810" w:rsidRDefault="005C4810" w:rsidP="005C4810">
            <w:pPr>
              <w:pStyle w:val="TableColumnHeading"/>
              <w:jc w:val="center"/>
              <w:cnfStyle w:val="000000000000" w:firstRow="0" w:lastRow="0" w:firstColumn="0" w:lastColumn="0" w:oddVBand="0" w:evenVBand="0" w:oddHBand="0" w:evenHBand="0" w:firstRowFirstColumn="0" w:firstRowLastColumn="0" w:lastRowFirstColumn="0" w:lastRowLastColumn="0"/>
              <w:rPr>
                <w:lang w:eastAsia="en-AU"/>
              </w:rPr>
            </w:pPr>
            <w:r>
              <w:rPr>
                <w:lang w:eastAsia="en-AU"/>
              </w:rPr>
              <w:t>6</w:t>
            </w:r>
            <w:r w:rsidR="00C02C28">
              <w:rPr>
                <w:lang w:eastAsia="en-AU"/>
              </w:rPr>
              <w:t>–</w:t>
            </w:r>
            <w:r>
              <w:rPr>
                <w:lang w:eastAsia="en-AU"/>
              </w:rPr>
              <w:t>12 months</w:t>
            </w:r>
          </w:p>
        </w:tc>
        <w:tc>
          <w:tcPr>
            <w:tcW w:w="795" w:type="pct"/>
          </w:tcPr>
          <w:p w14:paraId="5A475F3F" w14:textId="77777777" w:rsidR="005C4810" w:rsidRDefault="005C4810" w:rsidP="005C4810">
            <w:pPr>
              <w:pStyle w:val="TableColumnHeading"/>
              <w:jc w:val="center"/>
              <w:cnfStyle w:val="000000000000" w:firstRow="0" w:lastRow="0" w:firstColumn="0" w:lastColumn="0" w:oddVBand="0" w:evenVBand="0" w:oddHBand="0" w:evenHBand="0" w:firstRowFirstColumn="0" w:firstRowLastColumn="0" w:lastRowFirstColumn="0" w:lastRowLastColumn="0"/>
              <w:rPr>
                <w:lang w:eastAsia="en-AU"/>
              </w:rPr>
            </w:pPr>
            <w:r>
              <w:rPr>
                <w:lang w:eastAsia="en-AU"/>
              </w:rPr>
              <w:t>12 months</w:t>
            </w:r>
          </w:p>
        </w:tc>
        <w:tc>
          <w:tcPr>
            <w:tcW w:w="790" w:type="pct"/>
          </w:tcPr>
          <w:p w14:paraId="7F1DD571" w14:textId="77777777" w:rsidR="005C4810" w:rsidRDefault="005C4810" w:rsidP="005C4810">
            <w:pPr>
              <w:pStyle w:val="TableColumnHeading"/>
              <w:jc w:val="center"/>
              <w:cnfStyle w:val="000000000000" w:firstRow="0" w:lastRow="0" w:firstColumn="0" w:lastColumn="0" w:oddVBand="0" w:evenVBand="0" w:oddHBand="0" w:evenHBand="0" w:firstRowFirstColumn="0" w:firstRowLastColumn="0" w:lastRowFirstColumn="0" w:lastRowLastColumn="0"/>
              <w:rPr>
                <w:lang w:eastAsia="en-AU"/>
              </w:rPr>
            </w:pPr>
            <w:r>
              <w:rPr>
                <w:lang w:eastAsia="en-AU"/>
              </w:rPr>
              <w:t>Total</w:t>
            </w:r>
          </w:p>
        </w:tc>
        <w:tc>
          <w:tcPr>
            <w:tcW w:w="788" w:type="pct"/>
            <w:shd w:val="clear" w:color="auto" w:fill="BEBEBE" w:themeFill="accent5"/>
          </w:tcPr>
          <w:p w14:paraId="36923CEC" w14:textId="267C5E4A" w:rsidR="005C4810" w:rsidRDefault="00EC343A" w:rsidP="005C4810">
            <w:pPr>
              <w:pStyle w:val="TableColumnHeading"/>
              <w:jc w:val="center"/>
              <w:cnfStyle w:val="000000000000" w:firstRow="0" w:lastRow="0" w:firstColumn="0" w:lastColumn="0" w:oddVBand="0" w:evenVBand="0" w:oddHBand="0" w:evenHBand="0" w:firstRowFirstColumn="0" w:firstRowLastColumn="0" w:lastRowFirstColumn="0" w:lastRowLastColumn="0"/>
              <w:rPr>
                <w:lang w:eastAsia="en-AU"/>
              </w:rPr>
            </w:pPr>
            <w:r>
              <w:rPr>
                <w:lang w:eastAsia="en-AU"/>
              </w:rPr>
              <w:t>IIARP-EP</w:t>
            </w:r>
          </w:p>
        </w:tc>
      </w:tr>
      <w:tr w:rsidR="005C4810" w:rsidRPr="00B346A5" w14:paraId="754306B0" w14:textId="77777777" w:rsidTr="00121EBA">
        <w:trPr>
          <w:trHeight w:val="285"/>
          <w:jc w:val="center"/>
        </w:trPr>
        <w:tc>
          <w:tcPr>
            <w:cnfStyle w:val="001000000000" w:firstRow="0" w:lastRow="0" w:firstColumn="1" w:lastColumn="0" w:oddVBand="0" w:evenVBand="0" w:oddHBand="0" w:evenHBand="0" w:firstRowFirstColumn="0" w:firstRowLastColumn="0" w:lastRowFirstColumn="0" w:lastRowLastColumn="0"/>
            <w:tcW w:w="0" w:type="pct"/>
            <w:noWrap/>
            <w:hideMark/>
          </w:tcPr>
          <w:p w14:paraId="3680B4FD" w14:textId="77777777" w:rsidR="005C4810" w:rsidRPr="00B346A5" w:rsidRDefault="005C4810" w:rsidP="005C4810">
            <w:pPr>
              <w:pStyle w:val="TableCopy"/>
              <w:rPr>
                <w:lang w:eastAsia="en-AU"/>
              </w:rPr>
            </w:pPr>
            <w:r w:rsidRPr="00B346A5">
              <w:rPr>
                <w:lang w:eastAsia="en-AU"/>
              </w:rPr>
              <w:t>2012</w:t>
            </w:r>
          </w:p>
        </w:tc>
        <w:tc>
          <w:tcPr>
            <w:tcW w:w="0" w:type="pct"/>
            <w:vAlign w:val="bottom"/>
          </w:tcPr>
          <w:p w14:paraId="02AC2A73" w14:textId="77777777" w:rsidR="005C4810" w:rsidRPr="005C4810" w:rsidRDefault="005C4810" w:rsidP="005C4810">
            <w:pPr>
              <w:pStyle w:val="TableCopy"/>
              <w:jc w:val="center"/>
              <w:cnfStyle w:val="000000000000" w:firstRow="0" w:lastRow="0" w:firstColumn="0" w:lastColumn="0" w:oddVBand="0" w:evenVBand="0" w:oddHBand="0" w:evenHBand="0" w:firstRowFirstColumn="0" w:firstRowLastColumn="0" w:lastRowFirstColumn="0" w:lastRowLastColumn="0"/>
            </w:pPr>
            <w:r w:rsidRPr="005C4810">
              <w:t>3</w:t>
            </w:r>
          </w:p>
        </w:tc>
        <w:tc>
          <w:tcPr>
            <w:tcW w:w="0" w:type="pct"/>
            <w:vAlign w:val="bottom"/>
          </w:tcPr>
          <w:p w14:paraId="21E53DC5" w14:textId="77777777" w:rsidR="005C4810" w:rsidRPr="005C4810" w:rsidRDefault="005C4810" w:rsidP="005C4810">
            <w:pPr>
              <w:pStyle w:val="TableCopy"/>
              <w:jc w:val="center"/>
              <w:cnfStyle w:val="000000000000" w:firstRow="0" w:lastRow="0" w:firstColumn="0" w:lastColumn="0" w:oddVBand="0" w:evenVBand="0" w:oddHBand="0" w:evenHBand="0" w:firstRowFirstColumn="0" w:firstRowLastColumn="0" w:lastRowFirstColumn="0" w:lastRowLastColumn="0"/>
            </w:pPr>
            <w:r w:rsidRPr="005C4810">
              <w:t>3</w:t>
            </w:r>
          </w:p>
        </w:tc>
        <w:tc>
          <w:tcPr>
            <w:tcW w:w="0" w:type="pct"/>
            <w:vAlign w:val="bottom"/>
          </w:tcPr>
          <w:p w14:paraId="727F66B0" w14:textId="77777777" w:rsidR="005C4810" w:rsidRPr="005C4810" w:rsidRDefault="005C4810" w:rsidP="005C4810">
            <w:pPr>
              <w:pStyle w:val="TableCopy"/>
              <w:jc w:val="center"/>
              <w:cnfStyle w:val="000000000000" w:firstRow="0" w:lastRow="0" w:firstColumn="0" w:lastColumn="0" w:oddVBand="0" w:evenVBand="0" w:oddHBand="0" w:evenHBand="0" w:firstRowFirstColumn="0" w:firstRowLastColumn="0" w:lastRowFirstColumn="0" w:lastRowLastColumn="0"/>
            </w:pPr>
            <w:r w:rsidRPr="005C4810">
              <w:t>55</w:t>
            </w:r>
          </w:p>
        </w:tc>
        <w:tc>
          <w:tcPr>
            <w:tcW w:w="0" w:type="pct"/>
            <w:vAlign w:val="bottom"/>
          </w:tcPr>
          <w:p w14:paraId="1C9360A8" w14:textId="77777777" w:rsidR="005C4810" w:rsidRPr="0041222C" w:rsidRDefault="005C4810" w:rsidP="00121EBA">
            <w:pPr>
              <w:pStyle w:val="TableCopy"/>
              <w:jc w:val="center"/>
              <w:cnfStyle w:val="000000000000" w:firstRow="0" w:lastRow="0" w:firstColumn="0" w:lastColumn="0" w:oddVBand="0" w:evenVBand="0" w:oddHBand="0" w:evenHBand="0" w:firstRowFirstColumn="0" w:firstRowLastColumn="0" w:lastRowFirstColumn="0" w:lastRowLastColumn="0"/>
            </w:pPr>
            <w:r w:rsidRPr="0041222C">
              <w:t>61</w:t>
            </w:r>
          </w:p>
        </w:tc>
        <w:tc>
          <w:tcPr>
            <w:tcW w:w="0" w:type="pct"/>
            <w:vAlign w:val="bottom"/>
          </w:tcPr>
          <w:p w14:paraId="5CEFC41A" w14:textId="77777777" w:rsidR="005C4810" w:rsidRPr="00B346A5" w:rsidRDefault="005C4810" w:rsidP="00C02C28">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Pr>
                <w:lang w:eastAsia="en-AU"/>
              </w:rPr>
              <w:t>8</w:t>
            </w:r>
          </w:p>
        </w:tc>
      </w:tr>
      <w:tr w:rsidR="005C4810" w:rsidRPr="00B346A5" w14:paraId="3043DF63" w14:textId="77777777" w:rsidTr="00121EBA">
        <w:trPr>
          <w:trHeight w:val="285"/>
          <w:jc w:val="center"/>
        </w:trPr>
        <w:tc>
          <w:tcPr>
            <w:cnfStyle w:val="001000000000" w:firstRow="0" w:lastRow="0" w:firstColumn="1" w:lastColumn="0" w:oddVBand="0" w:evenVBand="0" w:oddHBand="0" w:evenHBand="0" w:firstRowFirstColumn="0" w:firstRowLastColumn="0" w:lastRowFirstColumn="0" w:lastRowLastColumn="0"/>
            <w:tcW w:w="0" w:type="pct"/>
            <w:noWrap/>
            <w:hideMark/>
          </w:tcPr>
          <w:p w14:paraId="276487B3" w14:textId="77777777" w:rsidR="005C4810" w:rsidRPr="00B346A5" w:rsidRDefault="005C4810" w:rsidP="005C4810">
            <w:pPr>
              <w:pStyle w:val="TableCopy"/>
              <w:rPr>
                <w:lang w:eastAsia="en-AU"/>
              </w:rPr>
            </w:pPr>
            <w:r w:rsidRPr="00B346A5">
              <w:rPr>
                <w:lang w:eastAsia="en-AU"/>
              </w:rPr>
              <w:t>2013</w:t>
            </w:r>
          </w:p>
        </w:tc>
        <w:tc>
          <w:tcPr>
            <w:tcW w:w="0" w:type="pct"/>
            <w:vAlign w:val="bottom"/>
          </w:tcPr>
          <w:p w14:paraId="56B697F2" w14:textId="77777777" w:rsidR="005C4810" w:rsidRPr="005C4810" w:rsidRDefault="005C4810" w:rsidP="005C4810">
            <w:pPr>
              <w:pStyle w:val="TableCopy"/>
              <w:jc w:val="center"/>
              <w:cnfStyle w:val="000000000000" w:firstRow="0" w:lastRow="0" w:firstColumn="0" w:lastColumn="0" w:oddVBand="0" w:evenVBand="0" w:oddHBand="0" w:evenHBand="0" w:firstRowFirstColumn="0" w:firstRowLastColumn="0" w:lastRowFirstColumn="0" w:lastRowLastColumn="0"/>
            </w:pPr>
            <w:r w:rsidRPr="005C4810">
              <w:t>3</w:t>
            </w:r>
          </w:p>
        </w:tc>
        <w:tc>
          <w:tcPr>
            <w:tcW w:w="0" w:type="pct"/>
            <w:vAlign w:val="bottom"/>
          </w:tcPr>
          <w:p w14:paraId="35F0086A" w14:textId="77777777" w:rsidR="005C4810" w:rsidRPr="005C4810" w:rsidRDefault="005C4810" w:rsidP="005C4810">
            <w:pPr>
              <w:pStyle w:val="TableCopy"/>
              <w:jc w:val="center"/>
              <w:cnfStyle w:val="000000000000" w:firstRow="0" w:lastRow="0" w:firstColumn="0" w:lastColumn="0" w:oddVBand="0" w:evenVBand="0" w:oddHBand="0" w:evenHBand="0" w:firstRowFirstColumn="0" w:firstRowLastColumn="0" w:lastRowFirstColumn="0" w:lastRowLastColumn="0"/>
            </w:pPr>
            <w:r w:rsidRPr="005C4810">
              <w:t>2</w:t>
            </w:r>
          </w:p>
        </w:tc>
        <w:tc>
          <w:tcPr>
            <w:tcW w:w="0" w:type="pct"/>
            <w:vAlign w:val="bottom"/>
          </w:tcPr>
          <w:p w14:paraId="547F9AC1" w14:textId="77777777" w:rsidR="005C4810" w:rsidRPr="005C4810" w:rsidRDefault="005C4810" w:rsidP="005C4810">
            <w:pPr>
              <w:pStyle w:val="TableCopy"/>
              <w:jc w:val="center"/>
              <w:cnfStyle w:val="000000000000" w:firstRow="0" w:lastRow="0" w:firstColumn="0" w:lastColumn="0" w:oddVBand="0" w:evenVBand="0" w:oddHBand="0" w:evenHBand="0" w:firstRowFirstColumn="0" w:firstRowLastColumn="0" w:lastRowFirstColumn="0" w:lastRowLastColumn="0"/>
            </w:pPr>
            <w:r w:rsidRPr="005C4810">
              <w:t>58</w:t>
            </w:r>
          </w:p>
        </w:tc>
        <w:tc>
          <w:tcPr>
            <w:tcW w:w="0" w:type="pct"/>
            <w:vAlign w:val="bottom"/>
          </w:tcPr>
          <w:p w14:paraId="3E60CC8F" w14:textId="77777777" w:rsidR="005C4810" w:rsidRPr="0041222C" w:rsidRDefault="005C4810" w:rsidP="00121EBA">
            <w:pPr>
              <w:pStyle w:val="TableCopy"/>
              <w:jc w:val="center"/>
              <w:cnfStyle w:val="000000000000" w:firstRow="0" w:lastRow="0" w:firstColumn="0" w:lastColumn="0" w:oddVBand="0" w:evenVBand="0" w:oddHBand="0" w:evenHBand="0" w:firstRowFirstColumn="0" w:firstRowLastColumn="0" w:lastRowFirstColumn="0" w:lastRowLastColumn="0"/>
            </w:pPr>
            <w:r w:rsidRPr="0041222C">
              <w:t>63</w:t>
            </w:r>
          </w:p>
        </w:tc>
        <w:tc>
          <w:tcPr>
            <w:tcW w:w="0" w:type="pct"/>
            <w:vAlign w:val="bottom"/>
          </w:tcPr>
          <w:p w14:paraId="229459C0" w14:textId="77777777" w:rsidR="005C4810" w:rsidRPr="00B346A5" w:rsidRDefault="005C4810" w:rsidP="00C02C28">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Pr>
                <w:lang w:eastAsia="en-AU"/>
              </w:rPr>
              <w:t>7</w:t>
            </w:r>
          </w:p>
        </w:tc>
      </w:tr>
      <w:tr w:rsidR="005C4810" w:rsidRPr="00B346A5" w14:paraId="4B75FDC2" w14:textId="77777777" w:rsidTr="00121EBA">
        <w:trPr>
          <w:trHeight w:val="285"/>
          <w:jc w:val="center"/>
        </w:trPr>
        <w:tc>
          <w:tcPr>
            <w:cnfStyle w:val="001000000000" w:firstRow="0" w:lastRow="0" w:firstColumn="1" w:lastColumn="0" w:oddVBand="0" w:evenVBand="0" w:oddHBand="0" w:evenHBand="0" w:firstRowFirstColumn="0" w:firstRowLastColumn="0" w:lastRowFirstColumn="0" w:lastRowLastColumn="0"/>
            <w:tcW w:w="0" w:type="pct"/>
            <w:noWrap/>
            <w:hideMark/>
          </w:tcPr>
          <w:p w14:paraId="36DD9B21" w14:textId="77777777" w:rsidR="005C4810" w:rsidRPr="00B346A5" w:rsidRDefault="005C4810" w:rsidP="005C4810">
            <w:pPr>
              <w:pStyle w:val="TableCopy"/>
              <w:rPr>
                <w:lang w:eastAsia="en-AU"/>
              </w:rPr>
            </w:pPr>
            <w:r w:rsidRPr="00B346A5">
              <w:rPr>
                <w:lang w:eastAsia="en-AU"/>
              </w:rPr>
              <w:t>2014</w:t>
            </w:r>
          </w:p>
        </w:tc>
        <w:tc>
          <w:tcPr>
            <w:tcW w:w="0" w:type="pct"/>
            <w:vAlign w:val="bottom"/>
          </w:tcPr>
          <w:p w14:paraId="6E95035F" w14:textId="77777777" w:rsidR="005C4810" w:rsidRPr="005C4810" w:rsidRDefault="005C4810" w:rsidP="005C4810">
            <w:pPr>
              <w:pStyle w:val="TableCopy"/>
              <w:jc w:val="center"/>
              <w:cnfStyle w:val="000000000000" w:firstRow="0" w:lastRow="0" w:firstColumn="0" w:lastColumn="0" w:oddVBand="0" w:evenVBand="0" w:oddHBand="0" w:evenHBand="0" w:firstRowFirstColumn="0" w:firstRowLastColumn="0" w:lastRowFirstColumn="0" w:lastRowLastColumn="0"/>
            </w:pPr>
            <w:r w:rsidRPr="005C4810">
              <w:t>3</w:t>
            </w:r>
          </w:p>
        </w:tc>
        <w:tc>
          <w:tcPr>
            <w:tcW w:w="0" w:type="pct"/>
            <w:vAlign w:val="bottom"/>
          </w:tcPr>
          <w:p w14:paraId="65AF512A" w14:textId="77777777" w:rsidR="005C4810" w:rsidRPr="005C4810" w:rsidRDefault="005C4810" w:rsidP="005C4810">
            <w:pPr>
              <w:pStyle w:val="TableCopy"/>
              <w:jc w:val="center"/>
              <w:cnfStyle w:val="000000000000" w:firstRow="0" w:lastRow="0" w:firstColumn="0" w:lastColumn="0" w:oddVBand="0" w:evenVBand="0" w:oddHBand="0" w:evenHBand="0" w:firstRowFirstColumn="0" w:firstRowLastColumn="0" w:lastRowFirstColumn="0" w:lastRowLastColumn="0"/>
            </w:pPr>
            <w:r w:rsidRPr="005C4810">
              <w:t>1</w:t>
            </w:r>
          </w:p>
        </w:tc>
        <w:tc>
          <w:tcPr>
            <w:tcW w:w="0" w:type="pct"/>
            <w:vAlign w:val="bottom"/>
          </w:tcPr>
          <w:p w14:paraId="11C9A9A1" w14:textId="77777777" w:rsidR="005C4810" w:rsidRPr="005C4810" w:rsidRDefault="005C4810" w:rsidP="005C4810">
            <w:pPr>
              <w:pStyle w:val="TableCopy"/>
              <w:jc w:val="center"/>
              <w:cnfStyle w:val="000000000000" w:firstRow="0" w:lastRow="0" w:firstColumn="0" w:lastColumn="0" w:oddVBand="0" w:evenVBand="0" w:oddHBand="0" w:evenHBand="0" w:firstRowFirstColumn="0" w:firstRowLastColumn="0" w:lastRowFirstColumn="0" w:lastRowLastColumn="0"/>
            </w:pPr>
            <w:r w:rsidRPr="005C4810">
              <w:t>73</w:t>
            </w:r>
          </w:p>
        </w:tc>
        <w:tc>
          <w:tcPr>
            <w:tcW w:w="0" w:type="pct"/>
            <w:vAlign w:val="bottom"/>
          </w:tcPr>
          <w:p w14:paraId="007D3226" w14:textId="77777777" w:rsidR="005C4810" w:rsidRPr="0041222C" w:rsidRDefault="005C4810" w:rsidP="00121EBA">
            <w:pPr>
              <w:pStyle w:val="TableCopy"/>
              <w:jc w:val="center"/>
              <w:cnfStyle w:val="000000000000" w:firstRow="0" w:lastRow="0" w:firstColumn="0" w:lastColumn="0" w:oddVBand="0" w:evenVBand="0" w:oddHBand="0" w:evenHBand="0" w:firstRowFirstColumn="0" w:firstRowLastColumn="0" w:lastRowFirstColumn="0" w:lastRowLastColumn="0"/>
            </w:pPr>
            <w:r w:rsidRPr="0041222C">
              <w:t>77</w:t>
            </w:r>
          </w:p>
        </w:tc>
        <w:tc>
          <w:tcPr>
            <w:tcW w:w="0" w:type="pct"/>
            <w:vAlign w:val="bottom"/>
          </w:tcPr>
          <w:p w14:paraId="5DF9992B" w14:textId="77777777" w:rsidR="005C4810" w:rsidRPr="00B346A5" w:rsidRDefault="005C4810" w:rsidP="00C02C28">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Pr>
                <w:lang w:eastAsia="en-AU"/>
              </w:rPr>
              <w:t>5</w:t>
            </w:r>
          </w:p>
        </w:tc>
      </w:tr>
      <w:tr w:rsidR="005C4810" w:rsidRPr="00B346A5" w14:paraId="4037F5A7" w14:textId="77777777" w:rsidTr="00121EBA">
        <w:trPr>
          <w:trHeight w:val="285"/>
          <w:jc w:val="center"/>
        </w:trPr>
        <w:tc>
          <w:tcPr>
            <w:cnfStyle w:val="001000000000" w:firstRow="0" w:lastRow="0" w:firstColumn="1" w:lastColumn="0" w:oddVBand="0" w:evenVBand="0" w:oddHBand="0" w:evenHBand="0" w:firstRowFirstColumn="0" w:firstRowLastColumn="0" w:lastRowFirstColumn="0" w:lastRowLastColumn="0"/>
            <w:tcW w:w="0" w:type="pct"/>
            <w:noWrap/>
            <w:hideMark/>
          </w:tcPr>
          <w:p w14:paraId="0894D971" w14:textId="77777777" w:rsidR="005C4810" w:rsidRPr="00B346A5" w:rsidRDefault="005C4810" w:rsidP="005C4810">
            <w:pPr>
              <w:pStyle w:val="TableCopy"/>
              <w:rPr>
                <w:lang w:eastAsia="en-AU"/>
              </w:rPr>
            </w:pPr>
            <w:r w:rsidRPr="00B346A5">
              <w:rPr>
                <w:lang w:eastAsia="en-AU"/>
              </w:rPr>
              <w:t>2015</w:t>
            </w:r>
          </w:p>
        </w:tc>
        <w:tc>
          <w:tcPr>
            <w:tcW w:w="0" w:type="pct"/>
            <w:vAlign w:val="bottom"/>
          </w:tcPr>
          <w:p w14:paraId="51666EFC" w14:textId="77777777" w:rsidR="005C4810" w:rsidRPr="005C4810" w:rsidRDefault="005C4810" w:rsidP="005C4810">
            <w:pPr>
              <w:pStyle w:val="TableCopy"/>
              <w:jc w:val="center"/>
              <w:cnfStyle w:val="000000000000" w:firstRow="0" w:lastRow="0" w:firstColumn="0" w:lastColumn="0" w:oddVBand="0" w:evenVBand="0" w:oddHBand="0" w:evenHBand="0" w:firstRowFirstColumn="0" w:firstRowLastColumn="0" w:lastRowFirstColumn="0" w:lastRowLastColumn="0"/>
            </w:pPr>
            <w:r w:rsidRPr="005C4810">
              <w:t>4</w:t>
            </w:r>
          </w:p>
        </w:tc>
        <w:tc>
          <w:tcPr>
            <w:tcW w:w="0" w:type="pct"/>
            <w:vAlign w:val="bottom"/>
          </w:tcPr>
          <w:p w14:paraId="61BC9675" w14:textId="77777777" w:rsidR="005C4810" w:rsidRPr="005C4810" w:rsidRDefault="005C4810" w:rsidP="005C4810">
            <w:pPr>
              <w:pStyle w:val="TableCopy"/>
              <w:jc w:val="center"/>
              <w:cnfStyle w:val="000000000000" w:firstRow="0" w:lastRow="0" w:firstColumn="0" w:lastColumn="0" w:oddVBand="0" w:evenVBand="0" w:oddHBand="0" w:evenHBand="0" w:firstRowFirstColumn="0" w:firstRowLastColumn="0" w:lastRowFirstColumn="0" w:lastRowLastColumn="0"/>
            </w:pPr>
            <w:r w:rsidRPr="005C4810">
              <w:t>2</w:t>
            </w:r>
          </w:p>
        </w:tc>
        <w:tc>
          <w:tcPr>
            <w:tcW w:w="0" w:type="pct"/>
            <w:vAlign w:val="bottom"/>
          </w:tcPr>
          <w:p w14:paraId="1AE4E956" w14:textId="77777777" w:rsidR="005C4810" w:rsidRPr="005C4810" w:rsidRDefault="005C4810" w:rsidP="005C4810">
            <w:pPr>
              <w:pStyle w:val="TableCopy"/>
              <w:jc w:val="center"/>
              <w:cnfStyle w:val="000000000000" w:firstRow="0" w:lastRow="0" w:firstColumn="0" w:lastColumn="0" w:oddVBand="0" w:evenVBand="0" w:oddHBand="0" w:evenHBand="0" w:firstRowFirstColumn="0" w:firstRowLastColumn="0" w:lastRowFirstColumn="0" w:lastRowLastColumn="0"/>
            </w:pPr>
            <w:r w:rsidRPr="005C4810">
              <w:t>65</w:t>
            </w:r>
          </w:p>
        </w:tc>
        <w:tc>
          <w:tcPr>
            <w:tcW w:w="0" w:type="pct"/>
            <w:vAlign w:val="bottom"/>
          </w:tcPr>
          <w:p w14:paraId="5AD8521F" w14:textId="77777777" w:rsidR="005C4810" w:rsidRPr="0041222C" w:rsidRDefault="005C4810" w:rsidP="00121EBA">
            <w:pPr>
              <w:pStyle w:val="TableCopy"/>
              <w:jc w:val="center"/>
              <w:cnfStyle w:val="000000000000" w:firstRow="0" w:lastRow="0" w:firstColumn="0" w:lastColumn="0" w:oddVBand="0" w:evenVBand="0" w:oddHBand="0" w:evenHBand="0" w:firstRowFirstColumn="0" w:firstRowLastColumn="0" w:lastRowFirstColumn="0" w:lastRowLastColumn="0"/>
            </w:pPr>
            <w:r w:rsidRPr="0041222C">
              <w:t>71</w:t>
            </w:r>
          </w:p>
        </w:tc>
        <w:tc>
          <w:tcPr>
            <w:tcW w:w="0" w:type="pct"/>
            <w:vAlign w:val="bottom"/>
          </w:tcPr>
          <w:p w14:paraId="37D34CD9" w14:textId="77777777" w:rsidR="005C4810" w:rsidRPr="00B346A5" w:rsidRDefault="005C4810" w:rsidP="00C02C28">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Pr>
                <w:lang w:eastAsia="en-AU"/>
              </w:rPr>
              <w:t>6</w:t>
            </w:r>
          </w:p>
        </w:tc>
      </w:tr>
      <w:tr w:rsidR="005C4810" w:rsidRPr="00B346A5" w14:paraId="21C88FAB" w14:textId="77777777" w:rsidTr="00121EBA">
        <w:trPr>
          <w:cnfStyle w:val="010000000000" w:firstRow="0" w:lastRow="1" w:firstColumn="0" w:lastColumn="0" w:oddVBand="0" w:evenVBand="0" w:oddHBand="0"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0" w:type="pct"/>
            <w:noWrap/>
            <w:hideMark/>
          </w:tcPr>
          <w:p w14:paraId="3DD7D2D2" w14:textId="77777777" w:rsidR="005C4810" w:rsidRPr="00B346A5" w:rsidRDefault="005C4810" w:rsidP="005C4810">
            <w:pPr>
              <w:pStyle w:val="TableCopy"/>
              <w:rPr>
                <w:lang w:eastAsia="en-AU"/>
              </w:rPr>
            </w:pPr>
            <w:r w:rsidRPr="00B346A5">
              <w:rPr>
                <w:lang w:eastAsia="en-AU"/>
              </w:rPr>
              <w:t>Grand Total</w:t>
            </w:r>
          </w:p>
        </w:tc>
        <w:tc>
          <w:tcPr>
            <w:tcW w:w="0" w:type="pct"/>
            <w:vAlign w:val="bottom"/>
          </w:tcPr>
          <w:p w14:paraId="1BBFA340" w14:textId="77777777" w:rsidR="005C4810" w:rsidRPr="005C4810" w:rsidRDefault="005C4810" w:rsidP="005C4810">
            <w:pPr>
              <w:pStyle w:val="TableCopy"/>
              <w:jc w:val="center"/>
              <w:cnfStyle w:val="010000000000" w:firstRow="0" w:lastRow="1" w:firstColumn="0" w:lastColumn="0" w:oddVBand="0" w:evenVBand="0" w:oddHBand="0" w:evenHBand="0" w:firstRowFirstColumn="0" w:firstRowLastColumn="0" w:lastRowFirstColumn="0" w:lastRowLastColumn="0"/>
            </w:pPr>
            <w:r w:rsidRPr="005C4810">
              <w:t>13</w:t>
            </w:r>
          </w:p>
        </w:tc>
        <w:tc>
          <w:tcPr>
            <w:tcW w:w="0" w:type="pct"/>
            <w:vAlign w:val="bottom"/>
          </w:tcPr>
          <w:p w14:paraId="21E68360" w14:textId="77777777" w:rsidR="005C4810" w:rsidRPr="005C4810" w:rsidRDefault="005C4810" w:rsidP="005C4810">
            <w:pPr>
              <w:pStyle w:val="TableCopy"/>
              <w:jc w:val="center"/>
              <w:cnfStyle w:val="010000000000" w:firstRow="0" w:lastRow="1" w:firstColumn="0" w:lastColumn="0" w:oddVBand="0" w:evenVBand="0" w:oddHBand="0" w:evenHBand="0" w:firstRowFirstColumn="0" w:firstRowLastColumn="0" w:lastRowFirstColumn="0" w:lastRowLastColumn="0"/>
            </w:pPr>
            <w:r w:rsidRPr="005C4810">
              <w:t>8</w:t>
            </w:r>
          </w:p>
        </w:tc>
        <w:tc>
          <w:tcPr>
            <w:tcW w:w="0" w:type="pct"/>
            <w:vAlign w:val="bottom"/>
          </w:tcPr>
          <w:p w14:paraId="234ACB66" w14:textId="77777777" w:rsidR="005C4810" w:rsidRPr="005C4810" w:rsidRDefault="005C4810" w:rsidP="005C4810">
            <w:pPr>
              <w:pStyle w:val="TableCopy"/>
              <w:jc w:val="center"/>
              <w:cnfStyle w:val="010000000000" w:firstRow="0" w:lastRow="1" w:firstColumn="0" w:lastColumn="0" w:oddVBand="0" w:evenVBand="0" w:oddHBand="0" w:evenHBand="0" w:firstRowFirstColumn="0" w:firstRowLastColumn="0" w:lastRowFirstColumn="0" w:lastRowLastColumn="0"/>
            </w:pPr>
            <w:r w:rsidRPr="005C4810">
              <w:t>251</w:t>
            </w:r>
          </w:p>
        </w:tc>
        <w:tc>
          <w:tcPr>
            <w:tcW w:w="0" w:type="pct"/>
            <w:vAlign w:val="bottom"/>
          </w:tcPr>
          <w:p w14:paraId="0769D383" w14:textId="77777777" w:rsidR="005C4810" w:rsidRPr="0041222C" w:rsidRDefault="005C4810" w:rsidP="00121EBA">
            <w:pPr>
              <w:pStyle w:val="TableCopy"/>
              <w:jc w:val="center"/>
              <w:cnfStyle w:val="010000000000" w:firstRow="0" w:lastRow="1" w:firstColumn="0" w:lastColumn="0" w:oddVBand="0" w:evenVBand="0" w:oddHBand="0" w:evenHBand="0" w:firstRowFirstColumn="0" w:firstRowLastColumn="0" w:lastRowFirstColumn="0" w:lastRowLastColumn="0"/>
            </w:pPr>
            <w:r w:rsidRPr="0041222C">
              <w:t>272</w:t>
            </w:r>
          </w:p>
        </w:tc>
        <w:tc>
          <w:tcPr>
            <w:tcW w:w="0" w:type="pct"/>
            <w:vAlign w:val="bottom"/>
          </w:tcPr>
          <w:p w14:paraId="01E3F8B3" w14:textId="77777777" w:rsidR="005C4810" w:rsidRPr="00B346A5" w:rsidRDefault="005C4810" w:rsidP="00C02C28">
            <w:pPr>
              <w:pStyle w:val="TableCopy"/>
              <w:jc w:val="center"/>
              <w:cnfStyle w:val="010000000000" w:firstRow="0" w:lastRow="1" w:firstColumn="0" w:lastColumn="0" w:oddVBand="0" w:evenVBand="0" w:oddHBand="0" w:evenHBand="0" w:firstRowFirstColumn="0" w:firstRowLastColumn="0" w:lastRowFirstColumn="0" w:lastRowLastColumn="0"/>
              <w:rPr>
                <w:lang w:eastAsia="en-AU"/>
              </w:rPr>
            </w:pPr>
            <w:r>
              <w:rPr>
                <w:lang w:eastAsia="en-AU"/>
              </w:rPr>
              <w:t>26</w:t>
            </w:r>
          </w:p>
        </w:tc>
      </w:tr>
    </w:tbl>
    <w:p w14:paraId="263C6625" w14:textId="77777777" w:rsidR="00B346A5" w:rsidRPr="00A9651E" w:rsidRDefault="003F6ABA" w:rsidP="003F6ABA">
      <w:pPr>
        <w:pStyle w:val="TableNotes"/>
      </w:pPr>
      <w:r w:rsidRPr="00A9651E">
        <w:t>*IIARP-EP cap of 10 allowances is per financial year, not calendar year.</w:t>
      </w:r>
    </w:p>
    <w:p w14:paraId="76276DCF" w14:textId="77777777" w:rsidR="00C5720C" w:rsidRPr="00C5720C" w:rsidRDefault="00C5720C" w:rsidP="00DA5675">
      <w:pPr>
        <w:pStyle w:val="Heading3"/>
      </w:pPr>
      <w:bookmarkStart w:id="64" w:name="_Toc523318817"/>
      <w:r w:rsidRPr="00C5720C">
        <w:t>Evaluation findings</w:t>
      </w:r>
      <w:bookmarkEnd w:id="64"/>
    </w:p>
    <w:p w14:paraId="61AC8C44" w14:textId="77777777" w:rsidR="00BD5FA2" w:rsidRPr="00C5720C" w:rsidRDefault="00BD5FA2" w:rsidP="00DA5675">
      <w:pPr>
        <w:pStyle w:val="Heading4"/>
      </w:pPr>
      <w:r w:rsidRPr="00C5720C">
        <w:t>Appropriateness</w:t>
      </w:r>
    </w:p>
    <w:p w14:paraId="338E0676" w14:textId="13F767A3" w:rsidR="00742BE7" w:rsidRDefault="00A55477" w:rsidP="00742BE7">
      <w:pPr>
        <w:pStyle w:val="BodyCopy"/>
      </w:pPr>
      <w:r>
        <w:t>Numerous</w:t>
      </w:r>
      <w:r w:rsidR="00742BE7">
        <w:t xml:space="preserve"> studies explo</w:t>
      </w:r>
      <w:r w:rsidR="006118BB">
        <w:t>re</w:t>
      </w:r>
      <w:r w:rsidR="00742BE7">
        <w:t xml:space="preserve"> the effect of rural internship on future rural </w:t>
      </w:r>
      <w:r w:rsidR="00C02C28">
        <w:t>practice</w:t>
      </w:r>
      <w:r w:rsidR="00742BE7">
        <w:t xml:space="preserve">. Most studies relate to the medical profession, such as an Australian survey of medical students that identified students are more likely to express interest in </w:t>
      </w:r>
      <w:r w:rsidR="003E612D">
        <w:t xml:space="preserve">practising </w:t>
      </w:r>
      <w:r w:rsidR="00742BE7">
        <w:t xml:space="preserve">rurally if exposed to rural </w:t>
      </w:r>
      <w:r w:rsidR="003E612D">
        <w:t xml:space="preserve">practice </w:t>
      </w:r>
      <w:r w:rsidR="00742BE7">
        <w:t xml:space="preserve">during placements or an internship year. </w:t>
      </w:r>
      <w:sdt>
        <w:sdtPr>
          <w:id w:val="-1952472293"/>
          <w:citation/>
        </w:sdtPr>
        <w:sdtContent>
          <w:r w:rsidR="00742BE7">
            <w:fldChar w:fldCharType="begin"/>
          </w:r>
          <w:r w:rsidR="00742BE7">
            <w:instrText xml:space="preserve"> CITATION Hen09 \l 3081 </w:instrText>
          </w:r>
          <w:r w:rsidR="00742BE7">
            <w:fldChar w:fldCharType="separate"/>
          </w:r>
          <w:r w:rsidR="0089011F" w:rsidRPr="0089011F">
            <w:rPr>
              <w:noProof/>
            </w:rPr>
            <w:t>[10]</w:t>
          </w:r>
          <w:r w:rsidR="00742BE7">
            <w:fldChar w:fldCharType="end"/>
          </w:r>
        </w:sdtContent>
      </w:sdt>
      <w:r w:rsidR="00742BE7">
        <w:t xml:space="preserve"> Further, a Victorian study of medical graduates found a statistically higher proportion of GPs who had undertaken a non-metropolitan internship went on to practise outside metropolitan areas than metropolitan interns (44% versus 13% respectively). </w:t>
      </w:r>
      <w:sdt>
        <w:sdtPr>
          <w:id w:val="-305087528"/>
          <w:citation/>
        </w:sdtPr>
        <w:sdtContent>
          <w:r w:rsidR="00742BE7">
            <w:fldChar w:fldCharType="begin"/>
          </w:r>
          <w:r w:rsidR="00742BE7">
            <w:instrText xml:space="preserve"> CITATION Pea04 \l 3081 </w:instrText>
          </w:r>
          <w:r w:rsidR="00742BE7">
            <w:fldChar w:fldCharType="separate"/>
          </w:r>
          <w:r w:rsidR="0089011F" w:rsidRPr="0089011F">
            <w:rPr>
              <w:noProof/>
            </w:rPr>
            <w:t>[21]</w:t>
          </w:r>
          <w:r w:rsidR="00742BE7">
            <w:fldChar w:fldCharType="end"/>
          </w:r>
        </w:sdtContent>
      </w:sdt>
      <w:r w:rsidR="00742BE7">
        <w:t xml:space="preserve"> Another longitudinal study of James Cook University medical graduates found undertaking an internship in rural areas (ASGC-RA 3</w:t>
      </w:r>
      <w:r w:rsidR="003E612D">
        <w:t>–</w:t>
      </w:r>
      <w:r w:rsidR="00742BE7">
        <w:t xml:space="preserve">5) was a significant predictor of rural </w:t>
      </w:r>
      <w:r w:rsidR="003E612D">
        <w:t xml:space="preserve">practice </w:t>
      </w:r>
      <w:r w:rsidR="00742BE7">
        <w:t xml:space="preserve">at </w:t>
      </w:r>
      <w:r w:rsidR="003E612D">
        <w:t xml:space="preserve">five </w:t>
      </w:r>
      <w:r w:rsidR="001665FF">
        <w:t>years</w:t>
      </w:r>
      <w:r w:rsidR="00742BE7">
        <w:t xml:space="preserve"> post-graduation. </w:t>
      </w:r>
    </w:p>
    <w:p w14:paraId="6A9ABD13" w14:textId="4513BFEE" w:rsidR="00742BE7" w:rsidRDefault="00742BE7" w:rsidP="00742BE7">
      <w:pPr>
        <w:pStyle w:val="BodyCopy"/>
      </w:pPr>
      <w:r>
        <w:t xml:space="preserve">In the pharmacy field, a survey of over 600 rural and metropolitan pharmacists </w:t>
      </w:r>
      <w:r w:rsidR="003E612D">
        <w:t xml:space="preserve">practising </w:t>
      </w:r>
      <w:r>
        <w:t xml:space="preserve">in Victoria identified undertaking a rural internship was the strongest predictor of future rural </w:t>
      </w:r>
      <w:r w:rsidR="003E612D">
        <w:t xml:space="preserve">practice </w:t>
      </w:r>
      <w:r>
        <w:t xml:space="preserve">and this effect was statistically significant. </w:t>
      </w:r>
      <w:sdt>
        <w:sdtPr>
          <w:id w:val="329952841"/>
          <w:citation/>
        </w:sdtPr>
        <w:sdtContent>
          <w:r>
            <w:fldChar w:fldCharType="begin"/>
          </w:r>
          <w:r>
            <w:instrText xml:space="preserve"> CITATION Fle11 \l 3081 </w:instrText>
          </w:r>
          <w:r>
            <w:fldChar w:fldCharType="separate"/>
          </w:r>
          <w:r w:rsidR="0089011F" w:rsidRPr="0089011F">
            <w:rPr>
              <w:noProof/>
            </w:rPr>
            <w:t>[22]</w:t>
          </w:r>
          <w:r>
            <w:fldChar w:fldCharType="end"/>
          </w:r>
        </w:sdtContent>
      </w:sdt>
      <w:r>
        <w:t xml:space="preserve"> </w:t>
      </w:r>
    </w:p>
    <w:p w14:paraId="4D54646F" w14:textId="090344C1" w:rsidR="009056DD" w:rsidRDefault="00F74114" w:rsidP="00F74114">
      <w:pPr>
        <w:pStyle w:val="BodyCopy"/>
      </w:pPr>
      <w:r w:rsidRPr="000A1CBB">
        <w:t>This is confirmed by analysis of recent pharmacist workforce data</w:t>
      </w:r>
      <w:sdt>
        <w:sdtPr>
          <w:id w:val="-804006718"/>
          <w:citation/>
        </w:sdtPr>
        <w:sdtContent>
          <w:r w:rsidR="00C21D27" w:rsidRPr="000A1CBB">
            <w:fldChar w:fldCharType="begin"/>
          </w:r>
          <w:r w:rsidR="00C21D27" w:rsidRPr="000A1CBB">
            <w:instrText xml:space="preserve">CITATION Dep15 \l 3081 </w:instrText>
          </w:r>
          <w:r w:rsidR="00C21D27" w:rsidRPr="000A1CBB">
            <w:fldChar w:fldCharType="separate"/>
          </w:r>
          <w:r w:rsidR="0089011F">
            <w:rPr>
              <w:noProof/>
            </w:rPr>
            <w:t xml:space="preserve"> </w:t>
          </w:r>
          <w:r w:rsidR="0089011F" w:rsidRPr="0089011F">
            <w:rPr>
              <w:noProof/>
            </w:rPr>
            <w:t>[23]</w:t>
          </w:r>
          <w:r w:rsidR="00C21D27" w:rsidRPr="000A1CBB">
            <w:fldChar w:fldCharType="end"/>
          </w:r>
        </w:sdtContent>
      </w:sdt>
      <w:r w:rsidRPr="000A1CBB">
        <w:t xml:space="preserve">. </w:t>
      </w:r>
      <w:r w:rsidR="00C21D27" w:rsidRPr="000A1CBB">
        <w:t xml:space="preserve">As shown in </w:t>
      </w:r>
      <w:r w:rsidR="00C21D27" w:rsidRPr="000A1CBB">
        <w:fldChar w:fldCharType="begin"/>
      </w:r>
      <w:r w:rsidR="00C21D27" w:rsidRPr="000A1CBB">
        <w:instrText xml:space="preserve"> REF _Ref487203184 \h </w:instrText>
      </w:r>
      <w:r w:rsidR="000A1CBB">
        <w:instrText xml:space="preserve"> \* MERGEFORMAT </w:instrText>
      </w:r>
      <w:r w:rsidR="00C21D27" w:rsidRPr="000A1CBB">
        <w:fldChar w:fldCharType="separate"/>
      </w:r>
      <w:r w:rsidR="00910E65">
        <w:t xml:space="preserve">Table </w:t>
      </w:r>
      <w:r w:rsidR="00910E65">
        <w:rPr>
          <w:noProof/>
        </w:rPr>
        <w:t>3.8</w:t>
      </w:r>
      <w:r w:rsidR="00C21D27" w:rsidRPr="000A1CBB">
        <w:fldChar w:fldCharType="end"/>
      </w:r>
      <w:r w:rsidR="00C21D27" w:rsidRPr="000A1CBB">
        <w:t>, t</w:t>
      </w:r>
      <w:r w:rsidRPr="000A1CBB">
        <w:t>he data show</w:t>
      </w:r>
      <w:r w:rsidR="00C21D27" w:rsidRPr="000A1CBB">
        <w:t>s</w:t>
      </w:r>
      <w:r w:rsidRPr="000A1CBB">
        <w:t xml:space="preserve"> that the majority of </w:t>
      </w:r>
      <w:r w:rsidR="00C21D27" w:rsidRPr="000A1CBB">
        <w:t xml:space="preserve">first year general registered pharmacists in 2015 in inner or outer regional locations had completed an internship (provisional registration) the preceding year (2014) in the same location (76% for inner regional and 68% for outer regional, red text in </w:t>
      </w:r>
      <w:r w:rsidR="00C21D27" w:rsidRPr="000A1CBB">
        <w:fldChar w:fldCharType="begin"/>
      </w:r>
      <w:r w:rsidR="00C21D27" w:rsidRPr="000A1CBB">
        <w:instrText xml:space="preserve"> REF _Ref487203184 \h </w:instrText>
      </w:r>
      <w:r w:rsidR="000A1CBB">
        <w:instrText xml:space="preserve"> \* MERGEFORMAT </w:instrText>
      </w:r>
      <w:r w:rsidR="00C21D27" w:rsidRPr="000A1CBB">
        <w:fldChar w:fldCharType="separate"/>
      </w:r>
      <w:r w:rsidR="00910E65">
        <w:t xml:space="preserve">Table </w:t>
      </w:r>
      <w:r w:rsidR="00910E65">
        <w:rPr>
          <w:noProof/>
        </w:rPr>
        <w:t>3.8</w:t>
      </w:r>
      <w:r w:rsidR="00C21D27" w:rsidRPr="000A1CBB">
        <w:fldChar w:fldCharType="end"/>
      </w:r>
      <w:r w:rsidR="00C21D27" w:rsidRPr="000A1CBB">
        <w:t xml:space="preserve">). Although, only 21% of remote / very remote pharmacists had undertaken </w:t>
      </w:r>
      <w:r w:rsidR="003E612D">
        <w:t>an</w:t>
      </w:r>
      <w:r w:rsidR="003E612D" w:rsidRPr="000A1CBB">
        <w:t xml:space="preserve"> </w:t>
      </w:r>
      <w:r w:rsidR="00C21D27" w:rsidRPr="000A1CBB">
        <w:t>internship the preceding year in a remote or very remote area, an additional 29% had completed an internship in an inner regional area</w:t>
      </w:r>
      <w:r w:rsidR="000A1CBB" w:rsidRPr="000A1CBB">
        <w:t xml:space="preserve"> (red text in </w:t>
      </w:r>
      <w:r w:rsidR="000A1CBB" w:rsidRPr="000A1CBB">
        <w:fldChar w:fldCharType="begin"/>
      </w:r>
      <w:r w:rsidR="000A1CBB" w:rsidRPr="000A1CBB">
        <w:instrText xml:space="preserve"> REF _Ref487203184 \h </w:instrText>
      </w:r>
      <w:r w:rsidR="000A1CBB">
        <w:instrText xml:space="preserve"> \* MERGEFORMAT </w:instrText>
      </w:r>
      <w:r w:rsidR="000A1CBB" w:rsidRPr="000A1CBB">
        <w:fldChar w:fldCharType="separate"/>
      </w:r>
      <w:r w:rsidR="00910E65">
        <w:t xml:space="preserve">Table </w:t>
      </w:r>
      <w:r w:rsidR="00910E65">
        <w:rPr>
          <w:noProof/>
        </w:rPr>
        <w:t>3.8</w:t>
      </w:r>
      <w:r w:rsidR="000A1CBB" w:rsidRPr="000A1CBB">
        <w:fldChar w:fldCharType="end"/>
      </w:r>
      <w:r w:rsidR="000A1CBB" w:rsidRPr="000A1CBB">
        <w:t>)</w:t>
      </w:r>
      <w:r w:rsidR="00C21D27" w:rsidRPr="000A1CBB">
        <w:t xml:space="preserve">. </w:t>
      </w:r>
      <w:r w:rsidR="000A1CBB" w:rsidRPr="000A1CBB">
        <w:t xml:space="preserve">Similar trends were observed in 2013 and 2014 data (not shown). The data analysis is consistent with the evidence found in the literature. </w:t>
      </w:r>
    </w:p>
    <w:p w14:paraId="399DCAB2" w14:textId="1450B5EA" w:rsidR="009056DD" w:rsidRDefault="00C21D27" w:rsidP="00C21D27">
      <w:pPr>
        <w:pStyle w:val="Caption"/>
      </w:pPr>
      <w:bookmarkStart w:id="65" w:name="_Ref487203184"/>
      <w:r>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3</w:t>
      </w:r>
      <w:r w:rsidR="00BC6E6C">
        <w:rPr>
          <w:noProof/>
        </w:rPr>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8</w:t>
      </w:r>
      <w:r w:rsidR="00BC6E6C">
        <w:rPr>
          <w:noProof/>
        </w:rPr>
        <w:fldChar w:fldCharType="end"/>
      </w:r>
      <w:bookmarkEnd w:id="65"/>
      <w:r>
        <w:t xml:space="preserve">: </w:t>
      </w:r>
      <w:r w:rsidRPr="00C21D27">
        <w:rPr>
          <w:rStyle w:val="Captionnotbold"/>
        </w:rPr>
        <w:t>Location of general registered pharmacists (2015), by location of internship the preceding year (2014)</w:t>
      </w:r>
    </w:p>
    <w:tbl>
      <w:tblPr>
        <w:tblStyle w:val="HMATable"/>
        <w:tblW w:w="5000" w:type="pct"/>
        <w:tblLook w:val="04A0" w:firstRow="1" w:lastRow="0" w:firstColumn="1" w:lastColumn="0" w:noHBand="0" w:noVBand="1"/>
        <w:tblCaption w:val="Table 3.8: Location of general registered pharmacists (2015), by location of internship the preceding year (2014)"/>
        <w:tblDescription w:val="Table 3.8: Location of general registered pharmacists (2015), by location of internship the preceding year (2014)"/>
      </w:tblPr>
      <w:tblGrid>
        <w:gridCol w:w="1683"/>
        <w:gridCol w:w="1116"/>
        <w:gridCol w:w="1244"/>
        <w:gridCol w:w="1230"/>
        <w:gridCol w:w="1761"/>
      </w:tblGrid>
      <w:tr w:rsidR="009056DD" w:rsidRPr="009056DD" w14:paraId="4F4EBD0D" w14:textId="77777777" w:rsidTr="00F71512">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100" w:firstRow="0" w:lastRow="0" w:firstColumn="1" w:lastColumn="0" w:oddVBand="0" w:evenVBand="0" w:oddHBand="0" w:evenHBand="0" w:firstRowFirstColumn="1" w:firstRowLastColumn="0" w:lastRowFirstColumn="0" w:lastRowLastColumn="0"/>
            <w:tcW w:w="1197" w:type="pct"/>
            <w:hideMark/>
          </w:tcPr>
          <w:p w14:paraId="7575D65E" w14:textId="4BA6602C" w:rsidR="009056DD" w:rsidRPr="009056DD" w:rsidRDefault="009056DD" w:rsidP="009056DD">
            <w:pPr>
              <w:pStyle w:val="TableColumnHeading"/>
            </w:pPr>
          </w:p>
        </w:tc>
        <w:tc>
          <w:tcPr>
            <w:tcW w:w="3803" w:type="pct"/>
            <w:gridSpan w:val="4"/>
            <w:noWrap/>
            <w:hideMark/>
          </w:tcPr>
          <w:p w14:paraId="44ADCDD5" w14:textId="77777777" w:rsidR="009056DD" w:rsidRDefault="009056DD" w:rsidP="009056DD">
            <w:pPr>
              <w:pStyle w:val="TableColumnHeading"/>
              <w:jc w:val="center"/>
              <w:cnfStyle w:val="100000000000" w:firstRow="1" w:lastRow="0" w:firstColumn="0" w:lastColumn="0" w:oddVBand="0" w:evenVBand="0" w:oddHBand="0" w:evenHBand="0" w:firstRowFirstColumn="0" w:firstRowLastColumn="0" w:lastRowFirstColumn="0" w:lastRowLastColumn="0"/>
            </w:pPr>
            <w:r w:rsidRPr="009056DD">
              <w:t>General registered pharmacist</w:t>
            </w:r>
            <w:r>
              <w:t xml:space="preserve"> location, </w:t>
            </w:r>
            <w:r w:rsidRPr="009056DD">
              <w:t>2015</w:t>
            </w:r>
          </w:p>
          <w:p w14:paraId="5ABE3D9E" w14:textId="77777777" w:rsidR="009056DD" w:rsidRPr="009056DD" w:rsidRDefault="009056DD" w:rsidP="009056DD">
            <w:pPr>
              <w:pStyle w:val="TableColumnHeading"/>
              <w:jc w:val="center"/>
              <w:cnfStyle w:val="100000000000" w:firstRow="1" w:lastRow="0" w:firstColumn="0" w:lastColumn="0" w:oddVBand="0" w:evenVBand="0" w:oddHBand="0" w:evenHBand="0" w:firstRowFirstColumn="0" w:firstRowLastColumn="0" w:lastRowFirstColumn="0" w:lastRowLastColumn="0"/>
            </w:pPr>
            <w:r>
              <w:t xml:space="preserve">n </w:t>
            </w:r>
            <w:r w:rsidR="00C21D27">
              <w:t>(%</w:t>
            </w:r>
            <w:r>
              <w:t>)</w:t>
            </w:r>
          </w:p>
        </w:tc>
      </w:tr>
      <w:tr w:rsidR="009056DD" w:rsidRPr="009056DD" w14:paraId="3C41289E" w14:textId="77777777" w:rsidTr="00F71512">
        <w:trPr>
          <w:trHeight w:val="440"/>
        </w:trPr>
        <w:tc>
          <w:tcPr>
            <w:cnfStyle w:val="001000000000" w:firstRow="0" w:lastRow="0" w:firstColumn="1" w:lastColumn="0" w:oddVBand="0" w:evenVBand="0" w:oddHBand="0" w:evenHBand="0" w:firstRowFirstColumn="0" w:firstRowLastColumn="0" w:lastRowFirstColumn="0" w:lastRowLastColumn="0"/>
            <w:tcW w:w="1197" w:type="pct"/>
            <w:shd w:val="clear" w:color="auto" w:fill="BEBEBE" w:themeFill="accent5"/>
            <w:hideMark/>
          </w:tcPr>
          <w:p w14:paraId="1AB76FB8" w14:textId="48C4533F" w:rsidR="009056DD" w:rsidRPr="009056DD" w:rsidRDefault="00EC343A" w:rsidP="009056DD">
            <w:pPr>
              <w:pStyle w:val="TableColumnHeading"/>
            </w:pPr>
            <w:r>
              <w:t xml:space="preserve">Intern location, </w:t>
            </w:r>
            <w:r w:rsidRPr="009056DD">
              <w:t>2014</w:t>
            </w:r>
          </w:p>
        </w:tc>
        <w:tc>
          <w:tcPr>
            <w:tcW w:w="793" w:type="pct"/>
            <w:hideMark/>
          </w:tcPr>
          <w:p w14:paraId="0A45B113" w14:textId="77777777" w:rsidR="009056DD" w:rsidRPr="009056DD" w:rsidRDefault="009056DD" w:rsidP="009056DD">
            <w:pPr>
              <w:pStyle w:val="TableColumnHeading"/>
              <w:jc w:val="center"/>
              <w:cnfStyle w:val="000000000000" w:firstRow="0" w:lastRow="0" w:firstColumn="0" w:lastColumn="0" w:oddVBand="0" w:evenVBand="0" w:oddHBand="0" w:evenHBand="0" w:firstRowFirstColumn="0" w:firstRowLastColumn="0" w:lastRowFirstColumn="0" w:lastRowLastColumn="0"/>
            </w:pPr>
            <w:r w:rsidRPr="009056DD">
              <w:t>Major cities</w:t>
            </w:r>
          </w:p>
        </w:tc>
        <w:tc>
          <w:tcPr>
            <w:tcW w:w="884" w:type="pct"/>
            <w:hideMark/>
          </w:tcPr>
          <w:p w14:paraId="2EA6E777" w14:textId="77777777" w:rsidR="009056DD" w:rsidRPr="009056DD" w:rsidRDefault="009056DD" w:rsidP="009056DD">
            <w:pPr>
              <w:pStyle w:val="TableColumnHeading"/>
              <w:jc w:val="center"/>
              <w:cnfStyle w:val="000000000000" w:firstRow="0" w:lastRow="0" w:firstColumn="0" w:lastColumn="0" w:oddVBand="0" w:evenVBand="0" w:oddHBand="0" w:evenHBand="0" w:firstRowFirstColumn="0" w:firstRowLastColumn="0" w:lastRowFirstColumn="0" w:lastRowLastColumn="0"/>
            </w:pPr>
            <w:r w:rsidRPr="009056DD">
              <w:t>Inner Regional</w:t>
            </w:r>
          </w:p>
        </w:tc>
        <w:tc>
          <w:tcPr>
            <w:tcW w:w="874" w:type="pct"/>
            <w:hideMark/>
          </w:tcPr>
          <w:p w14:paraId="540A9799" w14:textId="77777777" w:rsidR="009056DD" w:rsidRPr="009056DD" w:rsidRDefault="009056DD" w:rsidP="009056DD">
            <w:pPr>
              <w:pStyle w:val="TableColumnHeading"/>
              <w:jc w:val="center"/>
              <w:cnfStyle w:val="000000000000" w:firstRow="0" w:lastRow="0" w:firstColumn="0" w:lastColumn="0" w:oddVBand="0" w:evenVBand="0" w:oddHBand="0" w:evenHBand="0" w:firstRowFirstColumn="0" w:firstRowLastColumn="0" w:lastRowFirstColumn="0" w:lastRowLastColumn="0"/>
            </w:pPr>
            <w:r w:rsidRPr="009056DD">
              <w:t>Outer Regional</w:t>
            </w:r>
          </w:p>
        </w:tc>
        <w:tc>
          <w:tcPr>
            <w:tcW w:w="1252" w:type="pct"/>
            <w:hideMark/>
          </w:tcPr>
          <w:p w14:paraId="35669A7B" w14:textId="77777777" w:rsidR="009056DD" w:rsidRPr="009056DD" w:rsidRDefault="009056DD" w:rsidP="009056DD">
            <w:pPr>
              <w:pStyle w:val="TableColumnHeading"/>
              <w:jc w:val="center"/>
              <w:cnfStyle w:val="000000000000" w:firstRow="0" w:lastRow="0" w:firstColumn="0" w:lastColumn="0" w:oddVBand="0" w:evenVBand="0" w:oddHBand="0" w:evenHBand="0" w:firstRowFirstColumn="0" w:firstRowLastColumn="0" w:lastRowFirstColumn="0" w:lastRowLastColumn="0"/>
            </w:pPr>
            <w:r w:rsidRPr="009056DD">
              <w:t>Remote/Very Remote</w:t>
            </w:r>
          </w:p>
        </w:tc>
      </w:tr>
      <w:tr w:rsidR="009056DD" w:rsidRPr="009056DD" w14:paraId="54FD3A6A" w14:textId="77777777" w:rsidTr="00F71512">
        <w:trPr>
          <w:trHeight w:val="290"/>
        </w:trPr>
        <w:tc>
          <w:tcPr>
            <w:cnfStyle w:val="001000000000" w:firstRow="0" w:lastRow="0" w:firstColumn="1" w:lastColumn="0" w:oddVBand="0" w:evenVBand="0" w:oddHBand="0" w:evenHBand="0" w:firstRowFirstColumn="0" w:firstRowLastColumn="0" w:lastRowFirstColumn="0" w:lastRowLastColumn="0"/>
            <w:tcW w:w="1197" w:type="pct"/>
            <w:hideMark/>
          </w:tcPr>
          <w:p w14:paraId="2ABFF743" w14:textId="77777777" w:rsidR="009056DD" w:rsidRPr="009056DD" w:rsidRDefault="009056DD" w:rsidP="009056DD">
            <w:pPr>
              <w:pStyle w:val="TableCopy"/>
            </w:pPr>
            <w:r w:rsidRPr="009056DD">
              <w:t>Major cities</w:t>
            </w:r>
          </w:p>
        </w:tc>
        <w:tc>
          <w:tcPr>
            <w:tcW w:w="793" w:type="pct"/>
            <w:hideMark/>
          </w:tcPr>
          <w:p w14:paraId="217D9238" w14:textId="77777777" w:rsidR="009056DD" w:rsidRPr="009056DD"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pPr>
            <w:r w:rsidRPr="009056DD">
              <w:t>937 (96)</w:t>
            </w:r>
          </w:p>
        </w:tc>
        <w:tc>
          <w:tcPr>
            <w:tcW w:w="884" w:type="pct"/>
            <w:hideMark/>
          </w:tcPr>
          <w:p w14:paraId="695F2FC1" w14:textId="77777777" w:rsidR="009056DD" w:rsidRPr="009056DD"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pPr>
            <w:r w:rsidRPr="009056DD">
              <w:t>38 (19)</w:t>
            </w:r>
          </w:p>
        </w:tc>
        <w:tc>
          <w:tcPr>
            <w:tcW w:w="874" w:type="pct"/>
            <w:hideMark/>
          </w:tcPr>
          <w:p w14:paraId="03B7EEE9" w14:textId="77777777" w:rsidR="009056DD" w:rsidRPr="009056DD"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pPr>
            <w:r w:rsidRPr="009056DD">
              <w:t>17 (19)</w:t>
            </w:r>
          </w:p>
        </w:tc>
        <w:tc>
          <w:tcPr>
            <w:tcW w:w="1252" w:type="pct"/>
            <w:hideMark/>
          </w:tcPr>
          <w:p w14:paraId="4255146C" w14:textId="77777777" w:rsidR="009056DD" w:rsidRPr="009056DD"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pPr>
            <w:r w:rsidRPr="009056DD">
              <w:t>6 (43)</w:t>
            </w:r>
          </w:p>
        </w:tc>
      </w:tr>
      <w:tr w:rsidR="009056DD" w:rsidRPr="009056DD" w14:paraId="3EDF18B7" w14:textId="77777777" w:rsidTr="00F71512">
        <w:trPr>
          <w:trHeight w:val="420"/>
        </w:trPr>
        <w:tc>
          <w:tcPr>
            <w:cnfStyle w:val="001000000000" w:firstRow="0" w:lastRow="0" w:firstColumn="1" w:lastColumn="0" w:oddVBand="0" w:evenVBand="0" w:oddHBand="0" w:evenHBand="0" w:firstRowFirstColumn="0" w:firstRowLastColumn="0" w:lastRowFirstColumn="0" w:lastRowLastColumn="0"/>
            <w:tcW w:w="1197" w:type="pct"/>
            <w:hideMark/>
          </w:tcPr>
          <w:p w14:paraId="11B6E3C8" w14:textId="77777777" w:rsidR="009056DD" w:rsidRPr="009056DD" w:rsidRDefault="009056DD" w:rsidP="009056DD">
            <w:pPr>
              <w:pStyle w:val="TableCopy"/>
            </w:pPr>
            <w:r w:rsidRPr="009056DD">
              <w:t>Inner Regional</w:t>
            </w:r>
          </w:p>
        </w:tc>
        <w:tc>
          <w:tcPr>
            <w:tcW w:w="793" w:type="pct"/>
            <w:hideMark/>
          </w:tcPr>
          <w:p w14:paraId="304D1905" w14:textId="77777777" w:rsidR="009056DD" w:rsidRPr="009056DD"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pPr>
            <w:r w:rsidRPr="009056DD">
              <w:t>31 (3)</w:t>
            </w:r>
          </w:p>
        </w:tc>
        <w:tc>
          <w:tcPr>
            <w:tcW w:w="884" w:type="pct"/>
            <w:hideMark/>
          </w:tcPr>
          <w:p w14:paraId="18C5927C" w14:textId="77777777" w:rsidR="009056DD" w:rsidRPr="00A4318E"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rPr>
                <w:color w:val="auto"/>
              </w:rPr>
            </w:pPr>
            <w:r w:rsidRPr="00A4318E">
              <w:rPr>
                <w:color w:val="auto"/>
              </w:rPr>
              <w:t>150 (76)</w:t>
            </w:r>
          </w:p>
        </w:tc>
        <w:tc>
          <w:tcPr>
            <w:tcW w:w="874" w:type="pct"/>
            <w:hideMark/>
          </w:tcPr>
          <w:p w14:paraId="6E916554" w14:textId="77777777" w:rsidR="009056DD" w:rsidRPr="00A4318E"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rPr>
                <w:color w:val="auto"/>
              </w:rPr>
            </w:pPr>
            <w:r w:rsidRPr="00A4318E">
              <w:rPr>
                <w:color w:val="auto"/>
              </w:rPr>
              <w:t>7 (8)</w:t>
            </w:r>
          </w:p>
        </w:tc>
        <w:tc>
          <w:tcPr>
            <w:tcW w:w="1252" w:type="pct"/>
            <w:hideMark/>
          </w:tcPr>
          <w:p w14:paraId="5AE92FE4" w14:textId="77777777" w:rsidR="009056DD" w:rsidRPr="00A4318E"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rPr>
                <w:color w:val="auto"/>
              </w:rPr>
            </w:pPr>
            <w:r w:rsidRPr="00A4318E">
              <w:rPr>
                <w:color w:val="auto"/>
              </w:rPr>
              <w:t>4 (29)</w:t>
            </w:r>
          </w:p>
        </w:tc>
      </w:tr>
      <w:tr w:rsidR="009056DD" w:rsidRPr="009056DD" w14:paraId="3A5D9DE4" w14:textId="77777777" w:rsidTr="00F71512">
        <w:trPr>
          <w:trHeight w:val="420"/>
        </w:trPr>
        <w:tc>
          <w:tcPr>
            <w:cnfStyle w:val="001000000000" w:firstRow="0" w:lastRow="0" w:firstColumn="1" w:lastColumn="0" w:oddVBand="0" w:evenVBand="0" w:oddHBand="0" w:evenHBand="0" w:firstRowFirstColumn="0" w:firstRowLastColumn="0" w:lastRowFirstColumn="0" w:lastRowLastColumn="0"/>
            <w:tcW w:w="1197" w:type="pct"/>
            <w:hideMark/>
          </w:tcPr>
          <w:p w14:paraId="0FC40AFC" w14:textId="77777777" w:rsidR="009056DD" w:rsidRPr="009056DD" w:rsidRDefault="009056DD" w:rsidP="009056DD">
            <w:pPr>
              <w:pStyle w:val="TableCopy"/>
            </w:pPr>
            <w:r w:rsidRPr="009056DD">
              <w:t>Outer Regional</w:t>
            </w:r>
          </w:p>
        </w:tc>
        <w:tc>
          <w:tcPr>
            <w:tcW w:w="793" w:type="pct"/>
            <w:hideMark/>
          </w:tcPr>
          <w:p w14:paraId="6EE62B9A" w14:textId="77777777" w:rsidR="009056DD" w:rsidRPr="009056DD"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pPr>
            <w:r w:rsidRPr="009056DD">
              <w:t>9 (1)</w:t>
            </w:r>
          </w:p>
        </w:tc>
        <w:tc>
          <w:tcPr>
            <w:tcW w:w="884" w:type="pct"/>
            <w:hideMark/>
          </w:tcPr>
          <w:p w14:paraId="0F23ACC8" w14:textId="77777777" w:rsidR="009056DD" w:rsidRPr="00A4318E"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rPr>
                <w:color w:val="auto"/>
              </w:rPr>
            </w:pPr>
            <w:r w:rsidRPr="00A4318E">
              <w:rPr>
                <w:color w:val="auto"/>
              </w:rPr>
              <w:t>7 (4)</w:t>
            </w:r>
          </w:p>
        </w:tc>
        <w:tc>
          <w:tcPr>
            <w:tcW w:w="874" w:type="pct"/>
            <w:hideMark/>
          </w:tcPr>
          <w:p w14:paraId="66A8359E" w14:textId="77777777" w:rsidR="009056DD" w:rsidRPr="00A4318E"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rPr>
                <w:color w:val="auto"/>
              </w:rPr>
            </w:pPr>
            <w:r w:rsidRPr="00A4318E">
              <w:rPr>
                <w:color w:val="auto"/>
              </w:rPr>
              <w:t>61 (68)</w:t>
            </w:r>
          </w:p>
        </w:tc>
        <w:tc>
          <w:tcPr>
            <w:tcW w:w="1252" w:type="pct"/>
            <w:hideMark/>
          </w:tcPr>
          <w:p w14:paraId="5E1DDABE" w14:textId="77777777" w:rsidR="009056DD" w:rsidRPr="00A4318E"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rPr>
                <w:color w:val="auto"/>
              </w:rPr>
            </w:pPr>
            <w:r w:rsidRPr="00A4318E">
              <w:rPr>
                <w:color w:val="auto"/>
              </w:rPr>
              <w:t>NP</w:t>
            </w:r>
          </w:p>
        </w:tc>
      </w:tr>
      <w:tr w:rsidR="009056DD" w:rsidRPr="009056DD" w14:paraId="12CC456B" w14:textId="77777777" w:rsidTr="00F71512">
        <w:trPr>
          <w:trHeight w:val="420"/>
        </w:trPr>
        <w:tc>
          <w:tcPr>
            <w:cnfStyle w:val="001000000000" w:firstRow="0" w:lastRow="0" w:firstColumn="1" w:lastColumn="0" w:oddVBand="0" w:evenVBand="0" w:oddHBand="0" w:evenHBand="0" w:firstRowFirstColumn="0" w:firstRowLastColumn="0" w:lastRowFirstColumn="0" w:lastRowLastColumn="0"/>
            <w:tcW w:w="1197" w:type="pct"/>
            <w:hideMark/>
          </w:tcPr>
          <w:p w14:paraId="347EF8C3" w14:textId="77777777" w:rsidR="009056DD" w:rsidRPr="009056DD" w:rsidRDefault="009056DD" w:rsidP="009056DD">
            <w:pPr>
              <w:pStyle w:val="TableCopy"/>
            </w:pPr>
            <w:r w:rsidRPr="009056DD">
              <w:t>Remote/Very Remote</w:t>
            </w:r>
          </w:p>
        </w:tc>
        <w:tc>
          <w:tcPr>
            <w:tcW w:w="793" w:type="pct"/>
            <w:hideMark/>
          </w:tcPr>
          <w:p w14:paraId="061A2EE1" w14:textId="77777777" w:rsidR="009056DD" w:rsidRPr="009056DD"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pPr>
            <w:r w:rsidRPr="009056DD">
              <w:t>NP</w:t>
            </w:r>
          </w:p>
        </w:tc>
        <w:tc>
          <w:tcPr>
            <w:tcW w:w="884" w:type="pct"/>
            <w:hideMark/>
          </w:tcPr>
          <w:p w14:paraId="35851FA4" w14:textId="77777777" w:rsidR="009056DD" w:rsidRPr="00A4318E"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rPr>
                <w:color w:val="auto"/>
              </w:rPr>
            </w:pPr>
            <w:r w:rsidRPr="00A4318E">
              <w:rPr>
                <w:color w:val="auto"/>
              </w:rPr>
              <w:t>NP</w:t>
            </w:r>
          </w:p>
        </w:tc>
        <w:tc>
          <w:tcPr>
            <w:tcW w:w="874" w:type="pct"/>
            <w:hideMark/>
          </w:tcPr>
          <w:p w14:paraId="4F1BAF5E" w14:textId="77777777" w:rsidR="009056DD" w:rsidRPr="00A4318E"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rPr>
                <w:color w:val="auto"/>
              </w:rPr>
            </w:pPr>
            <w:r w:rsidRPr="00A4318E">
              <w:rPr>
                <w:color w:val="auto"/>
              </w:rPr>
              <w:t>5 (6)</w:t>
            </w:r>
          </w:p>
        </w:tc>
        <w:tc>
          <w:tcPr>
            <w:tcW w:w="1252" w:type="pct"/>
            <w:hideMark/>
          </w:tcPr>
          <w:p w14:paraId="74238C5A" w14:textId="77777777" w:rsidR="009056DD" w:rsidRPr="00A4318E"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rPr>
                <w:color w:val="auto"/>
              </w:rPr>
            </w:pPr>
            <w:r w:rsidRPr="00A4318E">
              <w:rPr>
                <w:color w:val="auto"/>
              </w:rPr>
              <w:t>3 (21)</w:t>
            </w:r>
          </w:p>
        </w:tc>
      </w:tr>
      <w:tr w:rsidR="009056DD" w:rsidRPr="009056DD" w14:paraId="48D3B174" w14:textId="77777777" w:rsidTr="00F71512">
        <w:trPr>
          <w:trHeight w:val="290"/>
        </w:trPr>
        <w:tc>
          <w:tcPr>
            <w:cnfStyle w:val="001000000000" w:firstRow="0" w:lastRow="0" w:firstColumn="1" w:lastColumn="0" w:oddVBand="0" w:evenVBand="0" w:oddHBand="0" w:evenHBand="0" w:firstRowFirstColumn="0" w:firstRowLastColumn="0" w:lastRowFirstColumn="0" w:lastRowLastColumn="0"/>
            <w:tcW w:w="1197" w:type="pct"/>
            <w:hideMark/>
          </w:tcPr>
          <w:p w14:paraId="418FE2ED" w14:textId="29A5BD3D" w:rsidR="009056DD" w:rsidRPr="009056DD" w:rsidRDefault="009056DD" w:rsidP="009056DD">
            <w:pPr>
              <w:pStyle w:val="TableCopy"/>
            </w:pPr>
            <w:r w:rsidRPr="009056DD">
              <w:t>Total</w:t>
            </w:r>
            <w:r w:rsidR="0088535F">
              <w:t>#</w:t>
            </w:r>
          </w:p>
        </w:tc>
        <w:tc>
          <w:tcPr>
            <w:tcW w:w="793" w:type="pct"/>
            <w:hideMark/>
          </w:tcPr>
          <w:p w14:paraId="48017BC2" w14:textId="77777777" w:rsidR="009056DD" w:rsidRPr="009056DD"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rPr>
                <w:b/>
              </w:rPr>
            </w:pPr>
            <w:r w:rsidRPr="009056DD">
              <w:rPr>
                <w:b/>
              </w:rPr>
              <w:t>977 (100)</w:t>
            </w:r>
          </w:p>
        </w:tc>
        <w:tc>
          <w:tcPr>
            <w:tcW w:w="884" w:type="pct"/>
            <w:hideMark/>
          </w:tcPr>
          <w:p w14:paraId="7BF59D43" w14:textId="7DF269B2" w:rsidR="009056DD" w:rsidRPr="009056DD" w:rsidRDefault="006D217C" w:rsidP="009056DD">
            <w:pPr>
              <w:pStyle w:val="TableCopy"/>
              <w:jc w:val="center"/>
              <w:cnfStyle w:val="000000000000" w:firstRow="0" w:lastRow="0" w:firstColumn="0" w:lastColumn="0" w:oddVBand="0" w:evenVBand="0" w:oddHBand="0" w:evenHBand="0" w:firstRowFirstColumn="0" w:firstRowLastColumn="0" w:lastRowFirstColumn="0" w:lastRowLastColumn="0"/>
              <w:rPr>
                <w:b/>
              </w:rPr>
            </w:pPr>
            <w:r w:rsidRPr="009056DD">
              <w:rPr>
                <w:b/>
              </w:rPr>
              <w:t>19</w:t>
            </w:r>
            <w:r w:rsidR="0088535F">
              <w:rPr>
                <w:b/>
              </w:rPr>
              <w:t>7</w:t>
            </w:r>
            <w:r w:rsidRPr="009056DD">
              <w:rPr>
                <w:b/>
              </w:rPr>
              <w:t xml:space="preserve"> </w:t>
            </w:r>
            <w:r w:rsidR="009056DD" w:rsidRPr="009056DD">
              <w:rPr>
                <w:b/>
              </w:rPr>
              <w:t>(100)</w:t>
            </w:r>
          </w:p>
        </w:tc>
        <w:tc>
          <w:tcPr>
            <w:tcW w:w="874" w:type="pct"/>
            <w:hideMark/>
          </w:tcPr>
          <w:p w14:paraId="189F00BD" w14:textId="77777777" w:rsidR="009056DD" w:rsidRPr="009056DD"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rPr>
                <w:b/>
              </w:rPr>
            </w:pPr>
            <w:r w:rsidRPr="009056DD">
              <w:rPr>
                <w:b/>
              </w:rPr>
              <w:t>90 (100)</w:t>
            </w:r>
          </w:p>
        </w:tc>
        <w:tc>
          <w:tcPr>
            <w:tcW w:w="1252" w:type="pct"/>
            <w:hideMark/>
          </w:tcPr>
          <w:p w14:paraId="26EC0DA1" w14:textId="6A22C4EC" w:rsidR="009056DD" w:rsidRPr="009056DD" w:rsidRDefault="006D217C" w:rsidP="009056DD">
            <w:pPr>
              <w:pStyle w:val="TableCopy"/>
              <w:jc w:val="center"/>
              <w:cnfStyle w:val="000000000000" w:firstRow="0" w:lastRow="0" w:firstColumn="0" w:lastColumn="0" w:oddVBand="0" w:evenVBand="0" w:oddHBand="0" w:evenHBand="0" w:firstRowFirstColumn="0" w:firstRowLastColumn="0" w:lastRowFirstColumn="0" w:lastRowLastColumn="0"/>
              <w:rPr>
                <w:b/>
              </w:rPr>
            </w:pPr>
            <w:r w:rsidRPr="009056DD">
              <w:rPr>
                <w:b/>
              </w:rPr>
              <w:t>1</w:t>
            </w:r>
            <w:r w:rsidR="0088535F">
              <w:rPr>
                <w:b/>
              </w:rPr>
              <w:t>4</w:t>
            </w:r>
            <w:r w:rsidRPr="009056DD">
              <w:rPr>
                <w:b/>
              </w:rPr>
              <w:t xml:space="preserve"> </w:t>
            </w:r>
            <w:r w:rsidR="009056DD" w:rsidRPr="009056DD">
              <w:rPr>
                <w:b/>
              </w:rPr>
              <w:t>(100)</w:t>
            </w:r>
          </w:p>
        </w:tc>
      </w:tr>
    </w:tbl>
    <w:p w14:paraId="7C4B926B" w14:textId="22FCA179" w:rsidR="009056DD" w:rsidRPr="00A9651E" w:rsidRDefault="009056DD" w:rsidP="00C21D27">
      <w:pPr>
        <w:pStyle w:val="TableNotes"/>
      </w:pPr>
      <w:r w:rsidRPr="00A9651E">
        <w:t>Source: National Health Workforce Dataset (NHWDS) 2013–2015. Provisional registered pharmacist location 2014, general registered pharmacist location 2015. Location defined by ABS Remoteness Area (RA) classification.</w:t>
      </w:r>
      <w:sdt>
        <w:sdtPr>
          <w:id w:val="-1679429591"/>
          <w:citation/>
        </w:sdtPr>
        <w:sdtContent>
          <w:r w:rsidR="00C21D27" w:rsidRPr="00A9651E">
            <w:fldChar w:fldCharType="begin"/>
          </w:r>
          <w:r w:rsidR="00C21D27" w:rsidRPr="00A9651E">
            <w:instrText xml:space="preserve"> CITATION Dep15 \l 3081 </w:instrText>
          </w:r>
          <w:r w:rsidR="00C21D27" w:rsidRPr="00A9651E">
            <w:fldChar w:fldCharType="separate"/>
          </w:r>
          <w:r w:rsidR="0089011F" w:rsidRPr="00A9651E">
            <w:rPr>
              <w:noProof/>
            </w:rPr>
            <w:t xml:space="preserve"> [23]</w:t>
          </w:r>
          <w:r w:rsidR="00C21D27" w:rsidRPr="00A9651E">
            <w:fldChar w:fldCharType="end"/>
          </w:r>
        </w:sdtContent>
      </w:sdt>
      <w:r w:rsidRPr="00A9651E">
        <w:t xml:space="preserve"> </w:t>
      </w:r>
    </w:p>
    <w:p w14:paraId="7A3D068F" w14:textId="542FC859" w:rsidR="009056DD" w:rsidRPr="00A9651E" w:rsidRDefault="009056DD" w:rsidP="00C21D27">
      <w:pPr>
        <w:pStyle w:val="TableNotes"/>
        <w:rPr>
          <w:highlight w:val="yellow"/>
        </w:rPr>
      </w:pPr>
      <w:r w:rsidRPr="00A9651E">
        <w:t>*NP = numbers too small to publish (2 or fewer).</w:t>
      </w:r>
      <w:r w:rsidR="0088535F" w:rsidRPr="00A9651E">
        <w:t xml:space="preserve"> # Totals may exceed sum of values because of non-published (NP) data </w:t>
      </w:r>
    </w:p>
    <w:p w14:paraId="1231872D" w14:textId="18BF166B" w:rsidR="00CC0BB7" w:rsidRPr="00CC0BB7" w:rsidRDefault="00CC0BB7" w:rsidP="00453658">
      <w:pPr>
        <w:pStyle w:val="Appropriatenessassessment"/>
      </w:pPr>
      <w:r w:rsidRPr="00CC0BB7">
        <w:t xml:space="preserve">The </w:t>
      </w:r>
      <w:r w:rsidR="000A1CBB">
        <w:t xml:space="preserve">evidence from the literature and Health Workforce Data analysis </w:t>
      </w:r>
      <w:r w:rsidRPr="00CC0BB7">
        <w:t>indicate</w:t>
      </w:r>
      <w:r w:rsidR="003E612D">
        <w:t>s</w:t>
      </w:r>
      <w:r w:rsidRPr="00CC0BB7">
        <w:t xml:space="preserve"> a significant link between undertaking an </w:t>
      </w:r>
      <w:r w:rsidRPr="00CC0BB7">
        <w:lastRenderedPageBreak/>
        <w:t xml:space="preserve">internship in a rural location and future rural </w:t>
      </w:r>
      <w:r w:rsidR="003E612D" w:rsidRPr="00CC0BB7">
        <w:t>practi</w:t>
      </w:r>
      <w:r w:rsidR="003E612D">
        <w:t>c</w:t>
      </w:r>
      <w:r w:rsidR="003E612D" w:rsidRPr="00CC0BB7">
        <w:t xml:space="preserve">e </w:t>
      </w:r>
      <w:r w:rsidRPr="00CC0BB7">
        <w:t xml:space="preserve">for health professionals, including pharmacists. </w:t>
      </w:r>
    </w:p>
    <w:p w14:paraId="111B7A21" w14:textId="77777777" w:rsidR="00056DC3" w:rsidRPr="00CC0BB7" w:rsidRDefault="00C2481F" w:rsidP="00CC0BB7">
      <w:pPr>
        <w:pStyle w:val="BodyCopy"/>
      </w:pPr>
      <w:r>
        <w:t xml:space="preserve">Despite the importance of rural exposure for future rural practices, during consultation, many rural pharmacists indicated </w:t>
      </w:r>
      <w:r w:rsidR="00056DC3">
        <w:t xml:space="preserve">that they experience difficulties in attracting interns of suitable quality to their area. Aside from the lesser desirable perception of rural pharmacy, common reasons cited for the difficulty in intern recruitment included the need to pay a higher wage to attract interns and the need pay re-location, and sometimes accommodation, costs for the intern. </w:t>
      </w:r>
    </w:p>
    <w:p w14:paraId="662900FA" w14:textId="607A6A25" w:rsidR="00117FAA" w:rsidRDefault="00CC0BB7" w:rsidP="00CC0BB7">
      <w:pPr>
        <w:pStyle w:val="BodyCopy"/>
      </w:pPr>
      <w:r w:rsidRPr="00CC0BB7">
        <w:t>However, t</w:t>
      </w:r>
      <w:r w:rsidR="00FC3580" w:rsidRPr="00CC0BB7">
        <w:t xml:space="preserve">here was no literature found exploring the effect of financial support to pharmacies / practices in increasing rural internships or new graduates. </w:t>
      </w:r>
      <w:r w:rsidRPr="00CC0BB7">
        <w:t>Two of the four peak body representatives consulted with considered that providing funding to the pharmacy rather than interns / new graduates is the most appropriate way to distribute funds under these programs</w:t>
      </w:r>
      <w:r w:rsidR="003E612D">
        <w:t>,</w:t>
      </w:r>
      <w:r w:rsidRPr="00CC0BB7">
        <w:t xml:space="preserve"> as it acknowledges the significant costs associated with</w:t>
      </w:r>
      <w:r>
        <w:t xml:space="preserve"> employing and supervising an intern. </w:t>
      </w:r>
    </w:p>
    <w:p w14:paraId="4E17717A" w14:textId="77777777" w:rsidR="00FC3580" w:rsidRDefault="00CC0BB7" w:rsidP="00CC0BB7">
      <w:pPr>
        <w:pStyle w:val="BodyCopy"/>
      </w:pPr>
      <w:r>
        <w:t xml:space="preserve">In contrast, many pharmacists believed more guidance and transparency was required regarding how the funds were to be used (e.g. intern / new graduate salary top-op, relocation costs for interns / new graduates). Many pharmacists felt the lack of transparency made the distribution of funds to interns / new graduates inequitable. </w:t>
      </w:r>
    </w:p>
    <w:p w14:paraId="74693C6B" w14:textId="77777777" w:rsidR="00C5720C" w:rsidRPr="00056DC3" w:rsidRDefault="00056DC3" w:rsidP="00453658">
      <w:pPr>
        <w:pStyle w:val="Appropriatenessassessment"/>
      </w:pPr>
      <w:r w:rsidRPr="00056DC3">
        <w:t>There is only anecdotal evidence to suggest that financial support for pharmacies is an appropriate method to recruit interns / new graduates</w:t>
      </w:r>
      <w:r w:rsidR="000A1CBB">
        <w:t xml:space="preserve"> in non-metropolitan areas</w:t>
      </w:r>
      <w:r w:rsidRPr="00056DC3">
        <w:t xml:space="preserve">. </w:t>
      </w:r>
      <w:r w:rsidR="00AE76AB">
        <w:t xml:space="preserve">Further evidence is required to support the anecdotal claims. </w:t>
      </w:r>
    </w:p>
    <w:p w14:paraId="043FD2AE" w14:textId="77777777" w:rsidR="00CB701D" w:rsidRDefault="00C5720C" w:rsidP="00DA5675">
      <w:pPr>
        <w:pStyle w:val="Heading4"/>
      </w:pPr>
      <w:r w:rsidRPr="00C5720C">
        <w:t>Effectiveness</w:t>
      </w:r>
    </w:p>
    <w:p w14:paraId="1F820FCA" w14:textId="77777777" w:rsidR="0087220F" w:rsidRDefault="0087220F" w:rsidP="0087220F">
      <w:pPr>
        <w:pStyle w:val="BodyCopy"/>
      </w:pPr>
      <w:r>
        <w:t xml:space="preserve">There is substantial evidence supporting the correlation between undertaking a non-metropolitan internship and future practice in non-metropolitan areas. However, there is a paucity of data on the best practice mechanism to attract or support non-metropolitan internships.  </w:t>
      </w:r>
    </w:p>
    <w:p w14:paraId="5148A05F" w14:textId="5CE4E769" w:rsidR="00742BE7" w:rsidRDefault="0041222C" w:rsidP="006D4E88">
      <w:pPr>
        <w:pStyle w:val="BodyCopy"/>
      </w:pPr>
      <w:r w:rsidRPr="0041222C">
        <w:t xml:space="preserve">There is limited data to determine the effectiveness </w:t>
      </w:r>
      <w:r>
        <w:t xml:space="preserve">of the IIARP and IIARP-EP </w:t>
      </w:r>
      <w:r w:rsidR="006D4E88">
        <w:t xml:space="preserve">programs </w:t>
      </w:r>
      <w:r w:rsidR="003E612D">
        <w:t>regarding</w:t>
      </w:r>
      <w:r w:rsidR="006D4E88">
        <w:t xml:space="preserve"> benefit of financial assistance to pharmacies for intern / new graduate recruitment, thus supporting the recruitment or retention of non-metropolit</w:t>
      </w:r>
      <w:r w:rsidR="002A5BC5">
        <w:t>an pharmacists. In lieu of</w:t>
      </w:r>
      <w:r w:rsidR="003C790A">
        <w:t xml:space="preserve"> a</w:t>
      </w:r>
      <w:r w:rsidR="002A5BC5">
        <w:t xml:space="preserve"> specific </w:t>
      </w:r>
      <w:r w:rsidR="003C790A">
        <w:t>program objective</w:t>
      </w:r>
      <w:r w:rsidR="002A5BC5">
        <w:t>, it is speculated the</w:t>
      </w:r>
      <w:r w:rsidR="003C790A">
        <w:t xml:space="preserve"> intended</w:t>
      </w:r>
      <w:r w:rsidR="002A5BC5">
        <w:t xml:space="preserve"> </w:t>
      </w:r>
      <w:r w:rsidR="006D4E88">
        <w:t xml:space="preserve">performance measures of the </w:t>
      </w:r>
      <w:r w:rsidR="009E2710">
        <w:t xml:space="preserve">IIARP and IIARP-EP </w:t>
      </w:r>
      <w:r w:rsidR="006D4E88">
        <w:t xml:space="preserve">programs may </w:t>
      </w:r>
      <w:r w:rsidR="006D217C">
        <w:t>be</w:t>
      </w:r>
      <w:r w:rsidR="006D4E88">
        <w:t xml:space="preserve"> an i</w:t>
      </w:r>
      <w:r w:rsidR="00742BE7">
        <w:t xml:space="preserve">ncrease in the number of interns </w:t>
      </w:r>
      <w:r w:rsidR="006D4E88">
        <w:t xml:space="preserve">/ new graduates </w:t>
      </w:r>
      <w:r w:rsidR="00742BE7">
        <w:t>employed</w:t>
      </w:r>
      <w:r w:rsidR="006D4E88">
        <w:t xml:space="preserve"> </w:t>
      </w:r>
      <w:r w:rsidR="009E2710">
        <w:t xml:space="preserve">in non-metropolitan areas, or increased growth of internships in </w:t>
      </w:r>
      <w:proofErr w:type="spellStart"/>
      <w:r w:rsidR="009E2710">
        <w:t>PhARIA</w:t>
      </w:r>
      <w:proofErr w:type="spellEnd"/>
      <w:r w:rsidR="009E2710">
        <w:t xml:space="preserve"> 2</w:t>
      </w:r>
      <w:r w:rsidR="003E612D">
        <w:t>–</w:t>
      </w:r>
      <w:r w:rsidR="009E2710">
        <w:t xml:space="preserve">6 areas. </w:t>
      </w:r>
    </w:p>
    <w:p w14:paraId="6A3D4C9A" w14:textId="1ED906C8" w:rsidR="00282024" w:rsidRDefault="00282024" w:rsidP="00424779">
      <w:pPr>
        <w:pStyle w:val="BodyCopy"/>
      </w:pPr>
      <w:r>
        <w:t>IIAR</w:t>
      </w:r>
      <w:r w:rsidR="009E2710">
        <w:t xml:space="preserve">P program data </w:t>
      </w:r>
      <w:r>
        <w:t xml:space="preserve">was </w:t>
      </w:r>
      <w:r w:rsidR="009E2710">
        <w:t xml:space="preserve">available </w:t>
      </w:r>
      <w:r>
        <w:t xml:space="preserve">for 2012 to 2015. The data showed that </w:t>
      </w:r>
      <w:r w:rsidR="00F271E7">
        <w:t>there</w:t>
      </w:r>
      <w:r w:rsidR="00424779">
        <w:t xml:space="preserve"> were small increases in IIARP </w:t>
      </w:r>
      <w:r w:rsidR="00F271E7">
        <w:t>allowances</w:t>
      </w:r>
      <w:r w:rsidR="00424779">
        <w:t xml:space="preserve"> commenced in </w:t>
      </w:r>
      <w:proofErr w:type="spellStart"/>
      <w:r w:rsidR="00424779">
        <w:t>PhARIA</w:t>
      </w:r>
      <w:proofErr w:type="spellEnd"/>
      <w:r w:rsidR="00424779">
        <w:t xml:space="preserve"> 3 and 4 locations. However, these </w:t>
      </w:r>
      <w:r w:rsidR="00D27A50">
        <w:t>fluctuations</w:t>
      </w:r>
      <w:r w:rsidR="00424779">
        <w:t xml:space="preserve"> need to be interpreted with caution</w:t>
      </w:r>
      <w:r w:rsidR="00BF4C6A">
        <w:t>,</w:t>
      </w:r>
      <w:r w:rsidR="00424779">
        <w:t xml:space="preserve"> as the actual numbers are very small (range of 14 to 27 allowances in </w:t>
      </w:r>
      <w:proofErr w:type="spellStart"/>
      <w:r w:rsidR="00424779">
        <w:t>PhARIA</w:t>
      </w:r>
      <w:proofErr w:type="spellEnd"/>
      <w:r w:rsidR="00424779">
        <w:t xml:space="preserve"> 3; and range of 3 to 11 allowances in </w:t>
      </w:r>
      <w:proofErr w:type="spellStart"/>
      <w:r w:rsidR="00424779">
        <w:t>PhARIA</w:t>
      </w:r>
      <w:proofErr w:type="spellEnd"/>
      <w:r w:rsidR="00424779">
        <w:t xml:space="preserve"> 4). </w:t>
      </w:r>
      <w:r w:rsidR="00D27A50">
        <w:t xml:space="preserve">See </w:t>
      </w:r>
      <w:r w:rsidR="00D27A50">
        <w:fldChar w:fldCharType="begin"/>
      </w:r>
      <w:r w:rsidR="00D27A50">
        <w:instrText xml:space="preserve"> REF _Ref487206416 \h </w:instrText>
      </w:r>
      <w:r w:rsidR="00D27A50">
        <w:fldChar w:fldCharType="separate"/>
      </w:r>
      <w:r w:rsidR="00910E65">
        <w:t xml:space="preserve">Table </w:t>
      </w:r>
      <w:r w:rsidR="00910E65">
        <w:rPr>
          <w:noProof/>
        </w:rPr>
        <w:t>3</w:t>
      </w:r>
      <w:r w:rsidR="00910E65">
        <w:t>.</w:t>
      </w:r>
      <w:r w:rsidR="00910E65">
        <w:rPr>
          <w:noProof/>
        </w:rPr>
        <w:t>9</w:t>
      </w:r>
      <w:r w:rsidR="00D27A50">
        <w:fldChar w:fldCharType="end"/>
      </w:r>
      <w:r w:rsidR="00D27A50">
        <w:t xml:space="preserve"> and </w:t>
      </w:r>
      <w:r w:rsidR="00D27A50">
        <w:fldChar w:fldCharType="begin"/>
      </w:r>
      <w:r w:rsidR="00D27A50">
        <w:instrText xml:space="preserve"> REF _Ref487206423 \h </w:instrText>
      </w:r>
      <w:r w:rsidR="00D27A50">
        <w:fldChar w:fldCharType="separate"/>
      </w:r>
      <w:r w:rsidR="00910E65">
        <w:t xml:space="preserve">Figure </w:t>
      </w:r>
      <w:r w:rsidR="00910E65">
        <w:rPr>
          <w:noProof/>
        </w:rPr>
        <w:t>3</w:t>
      </w:r>
      <w:r w:rsidR="00910E65">
        <w:t>.</w:t>
      </w:r>
      <w:r w:rsidR="00910E65">
        <w:rPr>
          <w:noProof/>
        </w:rPr>
        <w:t>6</w:t>
      </w:r>
      <w:r w:rsidR="00D27A50">
        <w:fldChar w:fldCharType="end"/>
      </w:r>
      <w:r w:rsidR="00D27A50">
        <w:t xml:space="preserve">. </w:t>
      </w:r>
    </w:p>
    <w:p w14:paraId="4CB0A5F5" w14:textId="3AF5DF88" w:rsidR="00424779" w:rsidRPr="00D27A50" w:rsidRDefault="00D27A50" w:rsidP="00D27A50">
      <w:pPr>
        <w:pStyle w:val="Caption"/>
        <w:rPr>
          <w:rStyle w:val="Captionnotbold"/>
        </w:rPr>
      </w:pPr>
      <w:bookmarkStart w:id="66" w:name="_Ref487206416"/>
      <w:r>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3</w:t>
      </w:r>
      <w:r w:rsidR="00BC6E6C">
        <w:rPr>
          <w:noProof/>
        </w:rPr>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9</w:t>
      </w:r>
      <w:r w:rsidR="00BC6E6C">
        <w:rPr>
          <w:noProof/>
        </w:rPr>
        <w:fldChar w:fldCharType="end"/>
      </w:r>
      <w:bookmarkEnd w:id="66"/>
      <w:r>
        <w:t xml:space="preserve">: </w:t>
      </w:r>
      <w:r w:rsidRPr="00D27A50">
        <w:rPr>
          <w:rStyle w:val="Captionnotbold"/>
        </w:rPr>
        <w:t xml:space="preserve">Number of IIARP allowances by commencement year and </w:t>
      </w:r>
      <w:proofErr w:type="spellStart"/>
      <w:r w:rsidRPr="00D27A50">
        <w:rPr>
          <w:rStyle w:val="Captionnotbold"/>
        </w:rPr>
        <w:t>PhARIA</w:t>
      </w:r>
      <w:proofErr w:type="spellEnd"/>
    </w:p>
    <w:tbl>
      <w:tblPr>
        <w:tblStyle w:val="HMATable"/>
        <w:tblW w:w="5000" w:type="pct"/>
        <w:tblLook w:val="04E0" w:firstRow="1" w:lastRow="1" w:firstColumn="1" w:lastColumn="0" w:noHBand="0" w:noVBand="1"/>
        <w:tblCaption w:val="Table 3.9: Number of IIARP allowances by commencement year and PhARIA"/>
        <w:tblDescription w:val="Table 3.9: Number of IIARP allowances by commencement year and PhARIA"/>
      </w:tblPr>
      <w:tblGrid>
        <w:gridCol w:w="2020"/>
        <w:gridCol w:w="675"/>
        <w:gridCol w:w="567"/>
        <w:gridCol w:w="851"/>
        <w:gridCol w:w="567"/>
        <w:gridCol w:w="567"/>
        <w:gridCol w:w="481"/>
        <w:gridCol w:w="1306"/>
      </w:tblGrid>
      <w:tr w:rsidR="00D27A50" w:rsidRPr="00D27A50" w14:paraId="75C0FD89" w14:textId="77777777" w:rsidTr="00F71512">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100" w:firstRow="0" w:lastRow="0" w:firstColumn="1" w:lastColumn="0" w:oddVBand="0" w:evenVBand="0" w:oddHBand="0" w:evenHBand="0" w:firstRowFirstColumn="1" w:firstRowLastColumn="0" w:lastRowFirstColumn="0" w:lastRowLastColumn="0"/>
            <w:tcW w:w="1436" w:type="pct"/>
            <w:noWrap/>
            <w:hideMark/>
          </w:tcPr>
          <w:p w14:paraId="2FDB8511" w14:textId="2428B514" w:rsidR="00D27A50" w:rsidRPr="00D27A50" w:rsidRDefault="00D27A50" w:rsidP="00D27A50">
            <w:pPr>
              <w:pStyle w:val="TableColumnHeading"/>
              <w:rPr>
                <w:lang w:eastAsia="en-AU"/>
              </w:rPr>
            </w:pPr>
          </w:p>
        </w:tc>
        <w:tc>
          <w:tcPr>
            <w:tcW w:w="2635" w:type="pct"/>
            <w:gridSpan w:val="6"/>
            <w:noWrap/>
          </w:tcPr>
          <w:p w14:paraId="138CA795" w14:textId="77777777" w:rsidR="00D27A50" w:rsidRPr="00D27A50" w:rsidRDefault="00D27A50" w:rsidP="00D27A50">
            <w:pPr>
              <w:pStyle w:val="TableColumnHeading"/>
              <w:jc w:val="center"/>
              <w:cnfStyle w:val="100000000000" w:firstRow="1" w:lastRow="0" w:firstColumn="0" w:lastColumn="0" w:oddVBand="0" w:evenVBand="0" w:oddHBand="0" w:evenHBand="0" w:firstRowFirstColumn="0" w:firstRowLastColumn="0" w:lastRowFirstColumn="0" w:lastRowLastColumn="0"/>
              <w:rPr>
                <w:lang w:eastAsia="en-AU"/>
              </w:rPr>
            </w:pPr>
            <w:proofErr w:type="spellStart"/>
            <w:r>
              <w:rPr>
                <w:lang w:eastAsia="en-AU"/>
              </w:rPr>
              <w:t>PhARIA</w:t>
            </w:r>
            <w:proofErr w:type="spellEnd"/>
          </w:p>
        </w:tc>
        <w:tc>
          <w:tcPr>
            <w:tcW w:w="929" w:type="pct"/>
            <w:noWrap/>
            <w:hideMark/>
          </w:tcPr>
          <w:p w14:paraId="1605C0C5" w14:textId="1AFDE6BF" w:rsidR="00D27A50" w:rsidRPr="00D27A50" w:rsidRDefault="00D27A50" w:rsidP="00D27A50">
            <w:pPr>
              <w:pStyle w:val="TableColumnHeading"/>
              <w:jc w:val="center"/>
              <w:cnfStyle w:val="100000000000" w:firstRow="1" w:lastRow="0" w:firstColumn="0" w:lastColumn="0" w:oddVBand="0" w:evenVBand="0" w:oddHBand="0" w:evenHBand="0" w:firstRowFirstColumn="0" w:firstRowLastColumn="0" w:lastRowFirstColumn="0" w:lastRowLastColumn="0"/>
              <w:rPr>
                <w:lang w:eastAsia="en-AU"/>
              </w:rPr>
            </w:pPr>
          </w:p>
        </w:tc>
      </w:tr>
      <w:tr w:rsidR="00D27A50" w:rsidRPr="00D27A50" w14:paraId="690316DF" w14:textId="77777777" w:rsidTr="00EC343A">
        <w:trPr>
          <w:trHeight w:val="290"/>
        </w:trPr>
        <w:tc>
          <w:tcPr>
            <w:cnfStyle w:val="001000000000" w:firstRow="0" w:lastRow="0" w:firstColumn="1" w:lastColumn="0" w:oddVBand="0" w:evenVBand="0" w:oddHBand="0" w:evenHBand="0" w:firstRowFirstColumn="0" w:firstRowLastColumn="0" w:lastRowFirstColumn="0" w:lastRowLastColumn="0"/>
            <w:tcW w:w="1436" w:type="pct"/>
            <w:shd w:val="clear" w:color="auto" w:fill="BEBEBE" w:themeFill="accent5"/>
            <w:noWrap/>
          </w:tcPr>
          <w:p w14:paraId="07CB64EA" w14:textId="48B785E0" w:rsidR="00D27A50" w:rsidRDefault="00EC343A" w:rsidP="00D27A50">
            <w:pPr>
              <w:pStyle w:val="TableColumnHeading"/>
              <w:rPr>
                <w:lang w:eastAsia="en-AU"/>
              </w:rPr>
            </w:pPr>
            <w:r>
              <w:rPr>
                <w:lang w:eastAsia="en-AU"/>
              </w:rPr>
              <w:t>Start year</w:t>
            </w:r>
          </w:p>
        </w:tc>
        <w:tc>
          <w:tcPr>
            <w:tcW w:w="480" w:type="pct"/>
            <w:shd w:val="clear" w:color="auto" w:fill="BEBEBE" w:themeFill="accent5"/>
            <w:noWrap/>
          </w:tcPr>
          <w:p w14:paraId="20EB071A" w14:textId="77777777" w:rsidR="00D27A50" w:rsidRPr="00D27A50" w:rsidRDefault="00D27A50" w:rsidP="00D27A50">
            <w:pPr>
              <w:pStyle w:val="TableColumnHeading"/>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1</w:t>
            </w:r>
          </w:p>
        </w:tc>
        <w:tc>
          <w:tcPr>
            <w:tcW w:w="403" w:type="pct"/>
            <w:shd w:val="clear" w:color="auto" w:fill="BEBEBE" w:themeFill="accent5"/>
            <w:noWrap/>
          </w:tcPr>
          <w:p w14:paraId="737C3CB8" w14:textId="77777777" w:rsidR="00D27A50" w:rsidRPr="00D27A50" w:rsidRDefault="00D27A50" w:rsidP="00D27A50">
            <w:pPr>
              <w:pStyle w:val="TableColumnHeading"/>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2</w:t>
            </w:r>
          </w:p>
        </w:tc>
        <w:tc>
          <w:tcPr>
            <w:tcW w:w="605" w:type="pct"/>
            <w:shd w:val="clear" w:color="auto" w:fill="BEBEBE" w:themeFill="accent5"/>
            <w:noWrap/>
          </w:tcPr>
          <w:p w14:paraId="00325B9B" w14:textId="77777777" w:rsidR="00D27A50" w:rsidRPr="00D27A50" w:rsidRDefault="00D27A50" w:rsidP="00D27A50">
            <w:pPr>
              <w:pStyle w:val="TableColumnHeading"/>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3</w:t>
            </w:r>
          </w:p>
        </w:tc>
        <w:tc>
          <w:tcPr>
            <w:tcW w:w="403" w:type="pct"/>
            <w:shd w:val="clear" w:color="auto" w:fill="BEBEBE" w:themeFill="accent5"/>
            <w:noWrap/>
          </w:tcPr>
          <w:p w14:paraId="26F0E70F" w14:textId="77777777" w:rsidR="00D27A50" w:rsidRPr="00D27A50" w:rsidRDefault="00D27A50" w:rsidP="00D27A50">
            <w:pPr>
              <w:pStyle w:val="TableColumnHeading"/>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4</w:t>
            </w:r>
          </w:p>
        </w:tc>
        <w:tc>
          <w:tcPr>
            <w:tcW w:w="403" w:type="pct"/>
            <w:shd w:val="clear" w:color="auto" w:fill="BEBEBE" w:themeFill="accent5"/>
            <w:noWrap/>
          </w:tcPr>
          <w:p w14:paraId="02DCE234" w14:textId="77777777" w:rsidR="00D27A50" w:rsidRPr="00D27A50" w:rsidRDefault="00D27A50" w:rsidP="00D27A50">
            <w:pPr>
              <w:pStyle w:val="TableColumnHeading"/>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5</w:t>
            </w:r>
          </w:p>
        </w:tc>
        <w:tc>
          <w:tcPr>
            <w:tcW w:w="342" w:type="pct"/>
            <w:shd w:val="clear" w:color="auto" w:fill="BEBEBE" w:themeFill="accent5"/>
            <w:noWrap/>
          </w:tcPr>
          <w:p w14:paraId="6EDE85C8" w14:textId="77777777" w:rsidR="00D27A50" w:rsidRPr="00D27A50" w:rsidRDefault="00D27A50" w:rsidP="00D27A50">
            <w:pPr>
              <w:pStyle w:val="TableColumnHeading"/>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6</w:t>
            </w:r>
          </w:p>
        </w:tc>
        <w:tc>
          <w:tcPr>
            <w:tcW w:w="929" w:type="pct"/>
            <w:shd w:val="clear" w:color="auto" w:fill="BEBEBE" w:themeFill="accent5"/>
            <w:noWrap/>
          </w:tcPr>
          <w:p w14:paraId="69BF3FE5" w14:textId="1989FCAA" w:rsidR="00D27A50" w:rsidRPr="00D27A50" w:rsidRDefault="00EC343A" w:rsidP="00D27A50">
            <w:pPr>
              <w:pStyle w:val="TableColumnHeading"/>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Total</w:t>
            </w:r>
          </w:p>
        </w:tc>
      </w:tr>
      <w:tr w:rsidR="00D27A50" w:rsidRPr="00D27A50" w14:paraId="4565B47E" w14:textId="77777777" w:rsidTr="00D27A50">
        <w:trPr>
          <w:trHeight w:val="290"/>
        </w:trPr>
        <w:tc>
          <w:tcPr>
            <w:cnfStyle w:val="001000000000" w:firstRow="0" w:lastRow="0" w:firstColumn="1" w:lastColumn="0" w:oddVBand="0" w:evenVBand="0" w:oddHBand="0" w:evenHBand="0" w:firstRowFirstColumn="0" w:firstRowLastColumn="0" w:lastRowFirstColumn="0" w:lastRowLastColumn="0"/>
            <w:tcW w:w="1436" w:type="pct"/>
            <w:noWrap/>
            <w:hideMark/>
          </w:tcPr>
          <w:p w14:paraId="36914B52" w14:textId="77777777" w:rsidR="00D27A50" w:rsidRPr="00D27A50" w:rsidRDefault="00D27A50" w:rsidP="00D27A50">
            <w:pPr>
              <w:pStyle w:val="TableCopy"/>
              <w:rPr>
                <w:lang w:eastAsia="en-AU"/>
              </w:rPr>
            </w:pPr>
            <w:r w:rsidRPr="00D27A50">
              <w:rPr>
                <w:lang w:eastAsia="en-AU"/>
              </w:rPr>
              <w:t>2012</w:t>
            </w:r>
          </w:p>
        </w:tc>
        <w:tc>
          <w:tcPr>
            <w:tcW w:w="480" w:type="pct"/>
            <w:noWrap/>
            <w:hideMark/>
          </w:tcPr>
          <w:p w14:paraId="7F034840"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11</w:t>
            </w:r>
          </w:p>
        </w:tc>
        <w:tc>
          <w:tcPr>
            <w:tcW w:w="403" w:type="pct"/>
            <w:noWrap/>
            <w:hideMark/>
          </w:tcPr>
          <w:p w14:paraId="3BF7B9AF"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19</w:t>
            </w:r>
          </w:p>
        </w:tc>
        <w:tc>
          <w:tcPr>
            <w:tcW w:w="605" w:type="pct"/>
            <w:noWrap/>
            <w:hideMark/>
          </w:tcPr>
          <w:p w14:paraId="299B40EC"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14</w:t>
            </w:r>
          </w:p>
        </w:tc>
        <w:tc>
          <w:tcPr>
            <w:tcW w:w="403" w:type="pct"/>
            <w:noWrap/>
            <w:hideMark/>
          </w:tcPr>
          <w:p w14:paraId="4416691D"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3</w:t>
            </w:r>
          </w:p>
        </w:tc>
        <w:tc>
          <w:tcPr>
            <w:tcW w:w="403" w:type="pct"/>
            <w:noWrap/>
            <w:hideMark/>
          </w:tcPr>
          <w:p w14:paraId="2ACB4D09"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12</w:t>
            </w:r>
          </w:p>
        </w:tc>
        <w:tc>
          <w:tcPr>
            <w:tcW w:w="342" w:type="pct"/>
            <w:noWrap/>
            <w:hideMark/>
          </w:tcPr>
          <w:p w14:paraId="54572165"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2</w:t>
            </w:r>
          </w:p>
        </w:tc>
        <w:tc>
          <w:tcPr>
            <w:tcW w:w="929" w:type="pct"/>
            <w:noWrap/>
            <w:hideMark/>
          </w:tcPr>
          <w:p w14:paraId="2DA8F257"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61</w:t>
            </w:r>
          </w:p>
        </w:tc>
      </w:tr>
      <w:tr w:rsidR="00D27A50" w:rsidRPr="00D27A50" w14:paraId="294C5B08" w14:textId="77777777" w:rsidTr="00D27A50">
        <w:trPr>
          <w:trHeight w:val="290"/>
        </w:trPr>
        <w:tc>
          <w:tcPr>
            <w:cnfStyle w:val="001000000000" w:firstRow="0" w:lastRow="0" w:firstColumn="1" w:lastColumn="0" w:oddVBand="0" w:evenVBand="0" w:oddHBand="0" w:evenHBand="0" w:firstRowFirstColumn="0" w:firstRowLastColumn="0" w:lastRowFirstColumn="0" w:lastRowLastColumn="0"/>
            <w:tcW w:w="1436" w:type="pct"/>
            <w:noWrap/>
            <w:hideMark/>
          </w:tcPr>
          <w:p w14:paraId="69CA2B26" w14:textId="77777777" w:rsidR="00D27A50" w:rsidRPr="00D27A50" w:rsidRDefault="00D27A50" w:rsidP="00D27A50">
            <w:pPr>
              <w:pStyle w:val="TableCopy"/>
              <w:rPr>
                <w:lang w:eastAsia="en-AU"/>
              </w:rPr>
            </w:pPr>
            <w:r w:rsidRPr="00D27A50">
              <w:rPr>
                <w:lang w:eastAsia="en-AU"/>
              </w:rPr>
              <w:t>2013</w:t>
            </w:r>
          </w:p>
        </w:tc>
        <w:tc>
          <w:tcPr>
            <w:tcW w:w="480" w:type="pct"/>
            <w:noWrap/>
            <w:hideMark/>
          </w:tcPr>
          <w:p w14:paraId="0BE647CB"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2</w:t>
            </w:r>
          </w:p>
        </w:tc>
        <w:tc>
          <w:tcPr>
            <w:tcW w:w="403" w:type="pct"/>
            <w:noWrap/>
            <w:hideMark/>
          </w:tcPr>
          <w:p w14:paraId="1C5CFB4F"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24</w:t>
            </w:r>
          </w:p>
        </w:tc>
        <w:tc>
          <w:tcPr>
            <w:tcW w:w="605" w:type="pct"/>
            <w:noWrap/>
            <w:hideMark/>
          </w:tcPr>
          <w:p w14:paraId="3621C0E5"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17</w:t>
            </w:r>
          </w:p>
        </w:tc>
        <w:tc>
          <w:tcPr>
            <w:tcW w:w="403" w:type="pct"/>
            <w:noWrap/>
            <w:hideMark/>
          </w:tcPr>
          <w:p w14:paraId="47F1D7B3"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7</w:t>
            </w:r>
          </w:p>
        </w:tc>
        <w:tc>
          <w:tcPr>
            <w:tcW w:w="403" w:type="pct"/>
            <w:noWrap/>
            <w:hideMark/>
          </w:tcPr>
          <w:p w14:paraId="23ECC4F2"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7</w:t>
            </w:r>
          </w:p>
        </w:tc>
        <w:tc>
          <w:tcPr>
            <w:tcW w:w="342" w:type="pct"/>
            <w:noWrap/>
            <w:hideMark/>
          </w:tcPr>
          <w:p w14:paraId="4D4C465D"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6</w:t>
            </w:r>
          </w:p>
        </w:tc>
        <w:tc>
          <w:tcPr>
            <w:tcW w:w="929" w:type="pct"/>
            <w:noWrap/>
            <w:hideMark/>
          </w:tcPr>
          <w:p w14:paraId="02343E72"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63</w:t>
            </w:r>
          </w:p>
        </w:tc>
      </w:tr>
      <w:tr w:rsidR="00D27A50" w:rsidRPr="00D27A50" w14:paraId="25117EB9" w14:textId="77777777" w:rsidTr="00D27A50">
        <w:trPr>
          <w:trHeight w:val="290"/>
        </w:trPr>
        <w:tc>
          <w:tcPr>
            <w:cnfStyle w:val="001000000000" w:firstRow="0" w:lastRow="0" w:firstColumn="1" w:lastColumn="0" w:oddVBand="0" w:evenVBand="0" w:oddHBand="0" w:evenHBand="0" w:firstRowFirstColumn="0" w:firstRowLastColumn="0" w:lastRowFirstColumn="0" w:lastRowLastColumn="0"/>
            <w:tcW w:w="1436" w:type="pct"/>
            <w:noWrap/>
            <w:hideMark/>
          </w:tcPr>
          <w:p w14:paraId="714CFD8D" w14:textId="77777777" w:rsidR="00D27A50" w:rsidRPr="00D27A50" w:rsidRDefault="00D27A50" w:rsidP="00D27A50">
            <w:pPr>
              <w:pStyle w:val="TableCopy"/>
              <w:rPr>
                <w:lang w:eastAsia="en-AU"/>
              </w:rPr>
            </w:pPr>
            <w:r w:rsidRPr="00D27A50">
              <w:rPr>
                <w:lang w:eastAsia="en-AU"/>
              </w:rPr>
              <w:t>2014</w:t>
            </w:r>
          </w:p>
        </w:tc>
        <w:tc>
          <w:tcPr>
            <w:tcW w:w="480" w:type="pct"/>
            <w:noWrap/>
            <w:hideMark/>
          </w:tcPr>
          <w:p w14:paraId="31A7EB2E"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p>
        </w:tc>
        <w:tc>
          <w:tcPr>
            <w:tcW w:w="403" w:type="pct"/>
            <w:noWrap/>
            <w:hideMark/>
          </w:tcPr>
          <w:p w14:paraId="11F61F5A"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25</w:t>
            </w:r>
          </w:p>
        </w:tc>
        <w:tc>
          <w:tcPr>
            <w:tcW w:w="605" w:type="pct"/>
            <w:noWrap/>
            <w:hideMark/>
          </w:tcPr>
          <w:p w14:paraId="2A1D78CB"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27</w:t>
            </w:r>
          </w:p>
        </w:tc>
        <w:tc>
          <w:tcPr>
            <w:tcW w:w="403" w:type="pct"/>
            <w:noWrap/>
            <w:hideMark/>
          </w:tcPr>
          <w:p w14:paraId="47AFC6F5"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11</w:t>
            </w:r>
          </w:p>
        </w:tc>
        <w:tc>
          <w:tcPr>
            <w:tcW w:w="403" w:type="pct"/>
            <w:noWrap/>
            <w:hideMark/>
          </w:tcPr>
          <w:p w14:paraId="3D707C39"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7</w:t>
            </w:r>
          </w:p>
        </w:tc>
        <w:tc>
          <w:tcPr>
            <w:tcW w:w="342" w:type="pct"/>
            <w:noWrap/>
            <w:hideMark/>
          </w:tcPr>
          <w:p w14:paraId="1F5A5AAB"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7</w:t>
            </w:r>
          </w:p>
        </w:tc>
        <w:tc>
          <w:tcPr>
            <w:tcW w:w="929" w:type="pct"/>
            <w:noWrap/>
            <w:hideMark/>
          </w:tcPr>
          <w:p w14:paraId="6855224B"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77</w:t>
            </w:r>
          </w:p>
        </w:tc>
      </w:tr>
      <w:tr w:rsidR="00D27A50" w:rsidRPr="00D27A50" w14:paraId="337CFAF2" w14:textId="77777777" w:rsidTr="00D27A50">
        <w:trPr>
          <w:trHeight w:val="290"/>
        </w:trPr>
        <w:tc>
          <w:tcPr>
            <w:cnfStyle w:val="001000000000" w:firstRow="0" w:lastRow="0" w:firstColumn="1" w:lastColumn="0" w:oddVBand="0" w:evenVBand="0" w:oddHBand="0" w:evenHBand="0" w:firstRowFirstColumn="0" w:firstRowLastColumn="0" w:lastRowFirstColumn="0" w:lastRowLastColumn="0"/>
            <w:tcW w:w="1436" w:type="pct"/>
            <w:noWrap/>
            <w:hideMark/>
          </w:tcPr>
          <w:p w14:paraId="2B375321" w14:textId="77777777" w:rsidR="00D27A50" w:rsidRPr="00D27A50" w:rsidRDefault="00D27A50" w:rsidP="00D27A50">
            <w:pPr>
              <w:pStyle w:val="TableCopy"/>
              <w:rPr>
                <w:lang w:eastAsia="en-AU"/>
              </w:rPr>
            </w:pPr>
            <w:r w:rsidRPr="00D27A50">
              <w:rPr>
                <w:lang w:eastAsia="en-AU"/>
              </w:rPr>
              <w:t>2015</w:t>
            </w:r>
          </w:p>
        </w:tc>
        <w:tc>
          <w:tcPr>
            <w:tcW w:w="480" w:type="pct"/>
            <w:noWrap/>
            <w:hideMark/>
          </w:tcPr>
          <w:p w14:paraId="047CDD40"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1</w:t>
            </w:r>
          </w:p>
        </w:tc>
        <w:tc>
          <w:tcPr>
            <w:tcW w:w="403" w:type="pct"/>
            <w:noWrap/>
            <w:hideMark/>
          </w:tcPr>
          <w:p w14:paraId="4540A5EF"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23</w:t>
            </w:r>
          </w:p>
        </w:tc>
        <w:tc>
          <w:tcPr>
            <w:tcW w:w="605" w:type="pct"/>
            <w:noWrap/>
            <w:hideMark/>
          </w:tcPr>
          <w:p w14:paraId="5C2A98D1"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26</w:t>
            </w:r>
          </w:p>
        </w:tc>
        <w:tc>
          <w:tcPr>
            <w:tcW w:w="403" w:type="pct"/>
            <w:noWrap/>
            <w:hideMark/>
          </w:tcPr>
          <w:p w14:paraId="69355F58"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9</w:t>
            </w:r>
          </w:p>
        </w:tc>
        <w:tc>
          <w:tcPr>
            <w:tcW w:w="403" w:type="pct"/>
            <w:noWrap/>
            <w:hideMark/>
          </w:tcPr>
          <w:p w14:paraId="3F978F81"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8</w:t>
            </w:r>
          </w:p>
        </w:tc>
        <w:tc>
          <w:tcPr>
            <w:tcW w:w="342" w:type="pct"/>
            <w:noWrap/>
            <w:hideMark/>
          </w:tcPr>
          <w:p w14:paraId="34692E37"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4</w:t>
            </w:r>
          </w:p>
        </w:tc>
        <w:tc>
          <w:tcPr>
            <w:tcW w:w="929" w:type="pct"/>
            <w:noWrap/>
            <w:hideMark/>
          </w:tcPr>
          <w:p w14:paraId="421ED277"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71</w:t>
            </w:r>
          </w:p>
        </w:tc>
      </w:tr>
      <w:tr w:rsidR="00D27A50" w:rsidRPr="00D27A50" w14:paraId="5C1704D4" w14:textId="77777777" w:rsidTr="00D27A50">
        <w:trPr>
          <w:cnfStyle w:val="010000000000" w:firstRow="0" w:lastRow="1"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36" w:type="pct"/>
            <w:noWrap/>
            <w:hideMark/>
          </w:tcPr>
          <w:p w14:paraId="5CB3D5FA" w14:textId="77777777" w:rsidR="00D27A50" w:rsidRPr="00D27A50" w:rsidRDefault="00D27A50" w:rsidP="00D27A50">
            <w:pPr>
              <w:pStyle w:val="TableCopy"/>
              <w:rPr>
                <w:lang w:eastAsia="en-AU"/>
              </w:rPr>
            </w:pPr>
            <w:r w:rsidRPr="00D27A50">
              <w:rPr>
                <w:lang w:eastAsia="en-AU"/>
              </w:rPr>
              <w:t>Grand Total</w:t>
            </w:r>
          </w:p>
        </w:tc>
        <w:tc>
          <w:tcPr>
            <w:tcW w:w="480" w:type="pct"/>
            <w:noWrap/>
            <w:hideMark/>
          </w:tcPr>
          <w:p w14:paraId="7A24BD45" w14:textId="77777777" w:rsidR="00D27A50" w:rsidRPr="00D27A50" w:rsidRDefault="00D27A50" w:rsidP="00D27A50">
            <w:pPr>
              <w:pStyle w:val="TableCopy"/>
              <w:jc w:val="center"/>
              <w:cnfStyle w:val="010000000000" w:firstRow="0" w:lastRow="1" w:firstColumn="0" w:lastColumn="0" w:oddVBand="0" w:evenVBand="0" w:oddHBand="0" w:evenHBand="0" w:firstRowFirstColumn="0" w:firstRowLastColumn="0" w:lastRowFirstColumn="0" w:lastRowLastColumn="0"/>
              <w:rPr>
                <w:lang w:eastAsia="en-AU"/>
              </w:rPr>
            </w:pPr>
            <w:r w:rsidRPr="00D27A50">
              <w:rPr>
                <w:lang w:eastAsia="en-AU"/>
              </w:rPr>
              <w:t>14</w:t>
            </w:r>
          </w:p>
        </w:tc>
        <w:tc>
          <w:tcPr>
            <w:tcW w:w="403" w:type="pct"/>
            <w:noWrap/>
            <w:hideMark/>
          </w:tcPr>
          <w:p w14:paraId="6E7DFE05" w14:textId="77777777" w:rsidR="00D27A50" w:rsidRPr="00D27A50" w:rsidRDefault="00D27A50" w:rsidP="00D27A50">
            <w:pPr>
              <w:pStyle w:val="TableCopy"/>
              <w:jc w:val="center"/>
              <w:cnfStyle w:val="010000000000" w:firstRow="0" w:lastRow="1" w:firstColumn="0" w:lastColumn="0" w:oddVBand="0" w:evenVBand="0" w:oddHBand="0" w:evenHBand="0" w:firstRowFirstColumn="0" w:firstRowLastColumn="0" w:lastRowFirstColumn="0" w:lastRowLastColumn="0"/>
              <w:rPr>
                <w:lang w:eastAsia="en-AU"/>
              </w:rPr>
            </w:pPr>
            <w:r w:rsidRPr="00D27A50">
              <w:rPr>
                <w:lang w:eastAsia="en-AU"/>
              </w:rPr>
              <w:t>91</w:t>
            </w:r>
          </w:p>
        </w:tc>
        <w:tc>
          <w:tcPr>
            <w:tcW w:w="605" w:type="pct"/>
            <w:noWrap/>
            <w:hideMark/>
          </w:tcPr>
          <w:p w14:paraId="7286ECB1" w14:textId="77777777" w:rsidR="00D27A50" w:rsidRPr="00D27A50" w:rsidRDefault="00D27A50" w:rsidP="00D27A50">
            <w:pPr>
              <w:pStyle w:val="TableCopy"/>
              <w:jc w:val="center"/>
              <w:cnfStyle w:val="010000000000" w:firstRow="0" w:lastRow="1" w:firstColumn="0" w:lastColumn="0" w:oddVBand="0" w:evenVBand="0" w:oddHBand="0" w:evenHBand="0" w:firstRowFirstColumn="0" w:firstRowLastColumn="0" w:lastRowFirstColumn="0" w:lastRowLastColumn="0"/>
              <w:rPr>
                <w:lang w:eastAsia="en-AU"/>
              </w:rPr>
            </w:pPr>
            <w:r w:rsidRPr="00D27A50">
              <w:rPr>
                <w:lang w:eastAsia="en-AU"/>
              </w:rPr>
              <w:t>84</w:t>
            </w:r>
          </w:p>
        </w:tc>
        <w:tc>
          <w:tcPr>
            <w:tcW w:w="403" w:type="pct"/>
            <w:noWrap/>
            <w:hideMark/>
          </w:tcPr>
          <w:p w14:paraId="3D332B47" w14:textId="77777777" w:rsidR="00D27A50" w:rsidRPr="00D27A50" w:rsidRDefault="00D27A50" w:rsidP="00D27A50">
            <w:pPr>
              <w:pStyle w:val="TableCopy"/>
              <w:jc w:val="center"/>
              <w:cnfStyle w:val="010000000000" w:firstRow="0" w:lastRow="1" w:firstColumn="0" w:lastColumn="0" w:oddVBand="0" w:evenVBand="0" w:oddHBand="0" w:evenHBand="0" w:firstRowFirstColumn="0" w:firstRowLastColumn="0" w:lastRowFirstColumn="0" w:lastRowLastColumn="0"/>
              <w:rPr>
                <w:lang w:eastAsia="en-AU"/>
              </w:rPr>
            </w:pPr>
            <w:r w:rsidRPr="00D27A50">
              <w:rPr>
                <w:lang w:eastAsia="en-AU"/>
              </w:rPr>
              <w:t>30</w:t>
            </w:r>
          </w:p>
        </w:tc>
        <w:tc>
          <w:tcPr>
            <w:tcW w:w="403" w:type="pct"/>
            <w:noWrap/>
            <w:hideMark/>
          </w:tcPr>
          <w:p w14:paraId="6F1008B3" w14:textId="77777777" w:rsidR="00D27A50" w:rsidRPr="00D27A50" w:rsidRDefault="00D27A50" w:rsidP="00D27A50">
            <w:pPr>
              <w:pStyle w:val="TableCopy"/>
              <w:jc w:val="center"/>
              <w:cnfStyle w:val="010000000000" w:firstRow="0" w:lastRow="1" w:firstColumn="0" w:lastColumn="0" w:oddVBand="0" w:evenVBand="0" w:oddHBand="0" w:evenHBand="0" w:firstRowFirstColumn="0" w:firstRowLastColumn="0" w:lastRowFirstColumn="0" w:lastRowLastColumn="0"/>
              <w:rPr>
                <w:lang w:eastAsia="en-AU"/>
              </w:rPr>
            </w:pPr>
            <w:r w:rsidRPr="00D27A50">
              <w:rPr>
                <w:lang w:eastAsia="en-AU"/>
              </w:rPr>
              <w:t>34</w:t>
            </w:r>
          </w:p>
        </w:tc>
        <w:tc>
          <w:tcPr>
            <w:tcW w:w="342" w:type="pct"/>
            <w:noWrap/>
            <w:hideMark/>
          </w:tcPr>
          <w:p w14:paraId="552AA6EC" w14:textId="77777777" w:rsidR="00D27A50" w:rsidRPr="00D27A50" w:rsidRDefault="00D27A50" w:rsidP="00D27A50">
            <w:pPr>
              <w:pStyle w:val="TableCopy"/>
              <w:jc w:val="center"/>
              <w:cnfStyle w:val="010000000000" w:firstRow="0" w:lastRow="1" w:firstColumn="0" w:lastColumn="0" w:oddVBand="0" w:evenVBand="0" w:oddHBand="0" w:evenHBand="0" w:firstRowFirstColumn="0" w:firstRowLastColumn="0" w:lastRowFirstColumn="0" w:lastRowLastColumn="0"/>
              <w:rPr>
                <w:lang w:eastAsia="en-AU"/>
              </w:rPr>
            </w:pPr>
            <w:r w:rsidRPr="00D27A50">
              <w:rPr>
                <w:lang w:eastAsia="en-AU"/>
              </w:rPr>
              <w:t>19</w:t>
            </w:r>
          </w:p>
        </w:tc>
        <w:tc>
          <w:tcPr>
            <w:tcW w:w="929" w:type="pct"/>
            <w:noWrap/>
            <w:hideMark/>
          </w:tcPr>
          <w:p w14:paraId="60529B27" w14:textId="77777777" w:rsidR="00D27A50" w:rsidRPr="00D27A50" w:rsidRDefault="00D27A50" w:rsidP="00D27A50">
            <w:pPr>
              <w:pStyle w:val="TableCopy"/>
              <w:jc w:val="center"/>
              <w:cnfStyle w:val="010000000000" w:firstRow="0" w:lastRow="1" w:firstColumn="0" w:lastColumn="0" w:oddVBand="0" w:evenVBand="0" w:oddHBand="0" w:evenHBand="0" w:firstRowFirstColumn="0" w:firstRowLastColumn="0" w:lastRowFirstColumn="0" w:lastRowLastColumn="0"/>
              <w:rPr>
                <w:lang w:eastAsia="en-AU"/>
              </w:rPr>
            </w:pPr>
            <w:r w:rsidRPr="00D27A50">
              <w:rPr>
                <w:lang w:eastAsia="en-AU"/>
              </w:rPr>
              <w:t>272</w:t>
            </w:r>
          </w:p>
        </w:tc>
      </w:tr>
    </w:tbl>
    <w:p w14:paraId="7A2114CD" w14:textId="6740AFCD" w:rsidR="00D3079D" w:rsidRPr="00424779" w:rsidRDefault="00424779" w:rsidP="00424779">
      <w:pPr>
        <w:pStyle w:val="Caption"/>
        <w:rPr>
          <w:rStyle w:val="Captionnotbold"/>
        </w:rPr>
      </w:pPr>
      <w:bookmarkStart w:id="67" w:name="_Ref487206423"/>
      <w:r>
        <w:lastRenderedPageBreak/>
        <w:t xml:space="preserve">Figure </w:t>
      </w:r>
      <w:r w:rsidR="00BC6E6C">
        <w:rPr>
          <w:noProof/>
        </w:rPr>
        <w:fldChar w:fldCharType="begin"/>
      </w:r>
      <w:r w:rsidR="00BC6E6C">
        <w:rPr>
          <w:noProof/>
        </w:rPr>
        <w:instrText xml:space="preserve"> STYLEREF 1 \s </w:instrText>
      </w:r>
      <w:r w:rsidR="00BC6E6C">
        <w:rPr>
          <w:noProof/>
        </w:rPr>
        <w:fldChar w:fldCharType="separate"/>
      </w:r>
      <w:r w:rsidR="00910E65">
        <w:rPr>
          <w:noProof/>
        </w:rPr>
        <w:t>3</w:t>
      </w:r>
      <w:r w:rsidR="00BC6E6C">
        <w:rPr>
          <w:noProof/>
        </w:rPr>
        <w:fldChar w:fldCharType="end"/>
      </w:r>
      <w:r w:rsidR="00181D4C">
        <w:t>.</w:t>
      </w:r>
      <w:r w:rsidR="00BC6E6C">
        <w:rPr>
          <w:noProof/>
        </w:rPr>
        <w:fldChar w:fldCharType="begin"/>
      </w:r>
      <w:r w:rsidR="00BC6E6C">
        <w:rPr>
          <w:noProof/>
        </w:rPr>
        <w:instrText xml:space="preserve"> SEQ Figure \* ARABIC \s 1 </w:instrText>
      </w:r>
      <w:r w:rsidR="00BC6E6C">
        <w:rPr>
          <w:noProof/>
        </w:rPr>
        <w:fldChar w:fldCharType="separate"/>
      </w:r>
      <w:r w:rsidR="00910E65">
        <w:rPr>
          <w:noProof/>
        </w:rPr>
        <w:t>6</w:t>
      </w:r>
      <w:r w:rsidR="00BC6E6C">
        <w:rPr>
          <w:noProof/>
        </w:rPr>
        <w:fldChar w:fldCharType="end"/>
      </w:r>
      <w:bookmarkEnd w:id="67"/>
      <w:r>
        <w:t>:</w:t>
      </w:r>
      <w:r w:rsidRPr="00D27A50">
        <w:rPr>
          <w:rStyle w:val="Captionnotbold"/>
        </w:rPr>
        <w:t xml:space="preserve"> </w:t>
      </w:r>
      <w:r w:rsidR="00D27A50" w:rsidRPr="00D27A50">
        <w:rPr>
          <w:rStyle w:val="Captionnotbold"/>
        </w:rPr>
        <w:t xml:space="preserve">Number of </w:t>
      </w:r>
      <w:r w:rsidRPr="00424779">
        <w:rPr>
          <w:rStyle w:val="Captionnotbold"/>
        </w:rPr>
        <w:t xml:space="preserve">IIARP allowances commenced by </w:t>
      </w:r>
      <w:proofErr w:type="spellStart"/>
      <w:r w:rsidRPr="00424779">
        <w:rPr>
          <w:rStyle w:val="Captionnotbold"/>
        </w:rPr>
        <w:t>PhARIA</w:t>
      </w:r>
      <w:proofErr w:type="spellEnd"/>
      <w:r w:rsidRPr="00424779">
        <w:rPr>
          <w:rStyle w:val="Captionnotbold"/>
        </w:rPr>
        <w:t xml:space="preserve"> and year </w:t>
      </w:r>
    </w:p>
    <w:p w14:paraId="6227E9DE" w14:textId="77777777" w:rsidR="00282024" w:rsidRDefault="00424779" w:rsidP="006D4E88">
      <w:pPr>
        <w:pStyle w:val="BodyCopy"/>
      </w:pPr>
      <w:r>
        <w:rPr>
          <w:noProof/>
          <w:lang w:eastAsia="en-AU"/>
        </w:rPr>
        <w:drawing>
          <wp:inline distT="0" distB="0" distL="0" distR="0" wp14:anchorId="7D558A8B" wp14:editId="06F01D38">
            <wp:extent cx="4579620" cy="2750820"/>
            <wp:effectExtent l="0" t="0" r="0" b="0"/>
            <wp:docPr id="5" name="Picture 5" descr="Figure 3.6 Line graph showing number of IIARP allowances commenced by PhARIA and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79620" cy="2750820"/>
                    </a:xfrm>
                    <a:prstGeom prst="rect">
                      <a:avLst/>
                    </a:prstGeom>
                    <a:noFill/>
                  </pic:spPr>
                </pic:pic>
              </a:graphicData>
            </a:graphic>
          </wp:inline>
        </w:drawing>
      </w:r>
    </w:p>
    <w:p w14:paraId="3043CAFB" w14:textId="10A43DC0" w:rsidR="00D27A50" w:rsidRDefault="00D27A50" w:rsidP="006D4E88">
      <w:pPr>
        <w:pStyle w:val="BodyCopy"/>
      </w:pPr>
      <w:r>
        <w:t xml:space="preserve">The number of IIARP allowances </w:t>
      </w:r>
      <w:r w:rsidR="007311D4">
        <w:t xml:space="preserve">commenced </w:t>
      </w:r>
      <w:r>
        <w:t>was also compared to the total number of interns in non-metropolitan area</w:t>
      </w:r>
      <w:r w:rsidR="007311D4">
        <w:t>s</w:t>
      </w:r>
      <w:r>
        <w:t xml:space="preserve"> where data was available. This analysis showed that </w:t>
      </w:r>
      <w:r w:rsidR="00BC5FE9">
        <w:t xml:space="preserve">IIARP allowances were </w:t>
      </w:r>
      <w:r w:rsidR="00B117F8">
        <w:t>available</w:t>
      </w:r>
      <w:r w:rsidR="00BC5FE9">
        <w:t xml:space="preserve"> for less than 30% of interns in non-</w:t>
      </w:r>
      <w:r w:rsidR="00B117F8">
        <w:t>metropolitan</w:t>
      </w:r>
      <w:r w:rsidR="00BC5FE9">
        <w:t xml:space="preserve"> areas 2013 and 2014 (see </w:t>
      </w:r>
      <w:r w:rsidR="009C12F9">
        <w:fldChar w:fldCharType="begin"/>
      </w:r>
      <w:r w:rsidR="009C12F9">
        <w:instrText xml:space="preserve"> REF _Ref487207712 \h </w:instrText>
      </w:r>
      <w:r w:rsidR="009C12F9">
        <w:fldChar w:fldCharType="separate"/>
      </w:r>
      <w:r w:rsidR="00910E65">
        <w:t xml:space="preserve">Table </w:t>
      </w:r>
      <w:r w:rsidR="00910E65">
        <w:rPr>
          <w:noProof/>
        </w:rPr>
        <w:t>3</w:t>
      </w:r>
      <w:r w:rsidR="00910E65">
        <w:t>.</w:t>
      </w:r>
      <w:r w:rsidR="00910E65">
        <w:rPr>
          <w:noProof/>
        </w:rPr>
        <w:t>10</w:t>
      </w:r>
      <w:r w:rsidR="009C12F9">
        <w:fldChar w:fldCharType="end"/>
      </w:r>
      <w:r w:rsidR="00BC5FE9">
        <w:t xml:space="preserve">). This implies that over </w:t>
      </w:r>
      <w:r w:rsidR="009C12F9">
        <w:t xml:space="preserve">70% of non-metropolitan internships do not benefit from the IIARP allowance, and that other factors must influence an </w:t>
      </w:r>
      <w:r w:rsidR="00B117F8">
        <w:t>intern’s</w:t>
      </w:r>
      <w:r w:rsidR="009C12F9">
        <w:t xml:space="preserve"> choice of location and a </w:t>
      </w:r>
      <w:r w:rsidR="00B117F8">
        <w:t>pharmacist’s</w:t>
      </w:r>
      <w:r w:rsidR="009C12F9">
        <w:t xml:space="preserve"> capability of attracting interns. </w:t>
      </w:r>
    </w:p>
    <w:p w14:paraId="33CED727" w14:textId="4E027C98" w:rsidR="00D27A50" w:rsidRPr="00BC5FE9" w:rsidRDefault="00BC5FE9" w:rsidP="0033487B">
      <w:pPr>
        <w:pStyle w:val="Caption"/>
        <w:rPr>
          <w:rStyle w:val="Captionnotbold"/>
        </w:rPr>
      </w:pPr>
      <w:bookmarkStart w:id="68" w:name="_Ref487207712"/>
      <w:r>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3</w:t>
      </w:r>
      <w:r w:rsidR="00BC6E6C">
        <w:rPr>
          <w:noProof/>
        </w:rPr>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10</w:t>
      </w:r>
      <w:r w:rsidR="00BC6E6C">
        <w:rPr>
          <w:noProof/>
        </w:rPr>
        <w:fldChar w:fldCharType="end"/>
      </w:r>
      <w:bookmarkEnd w:id="68"/>
      <w:r>
        <w:t xml:space="preserve">: </w:t>
      </w:r>
      <w:r w:rsidRPr="00BC5FE9">
        <w:rPr>
          <w:rStyle w:val="Captionnotbold"/>
        </w:rPr>
        <w:t xml:space="preserve">IIARP </w:t>
      </w:r>
      <w:r w:rsidR="00B117F8" w:rsidRPr="00BC5FE9">
        <w:rPr>
          <w:rStyle w:val="Captionnotbold"/>
        </w:rPr>
        <w:t>recipients</w:t>
      </w:r>
      <w:r w:rsidRPr="00BC5FE9">
        <w:rPr>
          <w:rStyle w:val="Captionnotbold"/>
        </w:rPr>
        <w:t xml:space="preserve"> as proportion of total number of </w:t>
      </w:r>
      <w:r w:rsidR="00B117F8" w:rsidRPr="00BC5FE9">
        <w:rPr>
          <w:rStyle w:val="Captionnotbold"/>
        </w:rPr>
        <w:t>interns</w:t>
      </w:r>
      <w:r w:rsidRPr="00BC5FE9">
        <w:rPr>
          <w:rStyle w:val="Captionnotbold"/>
        </w:rPr>
        <w:t xml:space="preserve"> in non-</w:t>
      </w:r>
      <w:r w:rsidR="00B117F8" w:rsidRPr="00BC5FE9">
        <w:rPr>
          <w:rStyle w:val="Captionnotbold"/>
        </w:rPr>
        <w:t>metropolitan</w:t>
      </w:r>
      <w:r w:rsidRPr="00BC5FE9">
        <w:rPr>
          <w:rStyle w:val="Captionnotbold"/>
        </w:rPr>
        <w:t xml:space="preserve"> areas, 2013</w:t>
      </w:r>
      <w:r w:rsidR="007311D4">
        <w:rPr>
          <w:rStyle w:val="Captionnotbold"/>
        </w:rPr>
        <w:t>–</w:t>
      </w:r>
      <w:r w:rsidRPr="00BC5FE9">
        <w:rPr>
          <w:rStyle w:val="Captionnotbold"/>
        </w:rPr>
        <w:t xml:space="preserve">2014 </w:t>
      </w:r>
    </w:p>
    <w:tbl>
      <w:tblPr>
        <w:tblStyle w:val="HMATable"/>
        <w:tblW w:w="5000" w:type="pct"/>
        <w:tblLook w:val="04A0" w:firstRow="1" w:lastRow="0" w:firstColumn="1" w:lastColumn="0" w:noHBand="0" w:noVBand="1"/>
        <w:tblCaption w:val="Table 3.10: IIARP recipients as proportion of total number of interns in non-metropolitan areas, 2013-2014"/>
        <w:tblDescription w:val="Table 3.10: IIARP recipients as proportion of total number of interns in non-metropolitan areas, 2013-2014"/>
      </w:tblPr>
      <w:tblGrid>
        <w:gridCol w:w="3054"/>
        <w:gridCol w:w="2822"/>
        <w:gridCol w:w="1158"/>
      </w:tblGrid>
      <w:tr w:rsidR="00D27A50" w:rsidRPr="00D27A50" w14:paraId="338FDE73" w14:textId="77777777" w:rsidTr="00F71512">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100" w:firstRow="0" w:lastRow="0" w:firstColumn="1" w:lastColumn="0" w:oddVBand="0" w:evenVBand="0" w:oddHBand="0" w:evenHBand="0" w:firstRowFirstColumn="1" w:firstRowLastColumn="0" w:lastRowFirstColumn="0" w:lastRowLastColumn="0"/>
            <w:tcW w:w="2171" w:type="pct"/>
            <w:noWrap/>
            <w:hideMark/>
          </w:tcPr>
          <w:p w14:paraId="2120B016" w14:textId="77777777" w:rsidR="00D27A50" w:rsidRPr="00D27A50" w:rsidRDefault="00D27A50" w:rsidP="0033487B">
            <w:pPr>
              <w:pStyle w:val="TableColumnHeading"/>
              <w:keepLines/>
            </w:pPr>
          </w:p>
        </w:tc>
        <w:tc>
          <w:tcPr>
            <w:tcW w:w="2006" w:type="pct"/>
            <w:noWrap/>
            <w:hideMark/>
          </w:tcPr>
          <w:p w14:paraId="7E100951" w14:textId="77777777" w:rsidR="00D27A50" w:rsidRPr="00D27A50" w:rsidRDefault="00D27A50" w:rsidP="0033487B">
            <w:pPr>
              <w:pStyle w:val="TableColumnHeading"/>
              <w:keepLines/>
              <w:jc w:val="center"/>
              <w:cnfStyle w:val="100000000000" w:firstRow="1" w:lastRow="0" w:firstColumn="0" w:lastColumn="0" w:oddVBand="0" w:evenVBand="0" w:oddHBand="0" w:evenHBand="0" w:firstRowFirstColumn="0" w:firstRowLastColumn="0" w:lastRowFirstColumn="0" w:lastRowLastColumn="0"/>
            </w:pPr>
            <w:r w:rsidRPr="00D27A50">
              <w:t>2013</w:t>
            </w:r>
          </w:p>
        </w:tc>
        <w:tc>
          <w:tcPr>
            <w:tcW w:w="823" w:type="pct"/>
            <w:noWrap/>
            <w:hideMark/>
          </w:tcPr>
          <w:p w14:paraId="484253A6" w14:textId="77777777" w:rsidR="00D27A50" w:rsidRPr="00D27A50" w:rsidRDefault="00D27A50" w:rsidP="0033487B">
            <w:pPr>
              <w:pStyle w:val="TableColumnHeading"/>
              <w:keepLines/>
              <w:jc w:val="center"/>
              <w:cnfStyle w:val="100000000000" w:firstRow="1" w:lastRow="0" w:firstColumn="0" w:lastColumn="0" w:oddVBand="0" w:evenVBand="0" w:oddHBand="0" w:evenHBand="0" w:firstRowFirstColumn="0" w:firstRowLastColumn="0" w:lastRowFirstColumn="0" w:lastRowLastColumn="0"/>
            </w:pPr>
            <w:r w:rsidRPr="00D27A50">
              <w:t>2014</w:t>
            </w:r>
          </w:p>
        </w:tc>
      </w:tr>
      <w:tr w:rsidR="00D27A50" w:rsidRPr="00D27A50" w14:paraId="5CE2B79F" w14:textId="77777777" w:rsidTr="00D27A50">
        <w:trPr>
          <w:trHeight w:val="290"/>
        </w:trPr>
        <w:tc>
          <w:tcPr>
            <w:cnfStyle w:val="001000000000" w:firstRow="0" w:lastRow="0" w:firstColumn="1" w:lastColumn="0" w:oddVBand="0" w:evenVBand="0" w:oddHBand="0" w:evenHBand="0" w:firstRowFirstColumn="0" w:firstRowLastColumn="0" w:lastRowFirstColumn="0" w:lastRowLastColumn="0"/>
            <w:tcW w:w="2171" w:type="pct"/>
            <w:noWrap/>
            <w:hideMark/>
          </w:tcPr>
          <w:p w14:paraId="31559EC5" w14:textId="77777777" w:rsidR="00D27A50" w:rsidRPr="00D27A50" w:rsidRDefault="00BC5FE9" w:rsidP="0033487B">
            <w:pPr>
              <w:pStyle w:val="TableCopy"/>
              <w:keepNext/>
              <w:keepLines/>
            </w:pPr>
            <w:r>
              <w:t>N</w:t>
            </w:r>
            <w:r w:rsidR="00D27A50" w:rsidRPr="00D27A50">
              <w:t>on-metro interns</w:t>
            </w:r>
          </w:p>
        </w:tc>
        <w:tc>
          <w:tcPr>
            <w:tcW w:w="2006" w:type="pct"/>
            <w:noWrap/>
            <w:hideMark/>
          </w:tcPr>
          <w:p w14:paraId="3CB8BFDC" w14:textId="77777777" w:rsidR="00D27A50" w:rsidRPr="00D27A50" w:rsidRDefault="00D27A50" w:rsidP="0033487B">
            <w:pPr>
              <w:pStyle w:val="TableCopy"/>
              <w:keepNext/>
              <w:keepLines/>
              <w:jc w:val="center"/>
              <w:cnfStyle w:val="000000000000" w:firstRow="0" w:lastRow="0" w:firstColumn="0" w:lastColumn="0" w:oddVBand="0" w:evenVBand="0" w:oddHBand="0" w:evenHBand="0" w:firstRowFirstColumn="0" w:firstRowLastColumn="0" w:lastRowFirstColumn="0" w:lastRowLastColumn="0"/>
            </w:pPr>
            <w:r w:rsidRPr="00D27A50">
              <w:t>217</w:t>
            </w:r>
          </w:p>
        </w:tc>
        <w:tc>
          <w:tcPr>
            <w:tcW w:w="823" w:type="pct"/>
            <w:noWrap/>
            <w:hideMark/>
          </w:tcPr>
          <w:p w14:paraId="16A54207" w14:textId="77777777" w:rsidR="00D27A50" w:rsidRPr="00D27A50" w:rsidRDefault="00D27A50" w:rsidP="0033487B">
            <w:pPr>
              <w:pStyle w:val="TableCopy"/>
              <w:keepNext/>
              <w:keepLines/>
              <w:jc w:val="center"/>
              <w:cnfStyle w:val="000000000000" w:firstRow="0" w:lastRow="0" w:firstColumn="0" w:lastColumn="0" w:oddVBand="0" w:evenVBand="0" w:oddHBand="0" w:evenHBand="0" w:firstRowFirstColumn="0" w:firstRowLastColumn="0" w:lastRowFirstColumn="0" w:lastRowLastColumn="0"/>
            </w:pPr>
            <w:r w:rsidRPr="00D27A50">
              <w:t>280</w:t>
            </w:r>
          </w:p>
        </w:tc>
      </w:tr>
      <w:tr w:rsidR="00D27A50" w:rsidRPr="00D27A50" w14:paraId="154B4F70" w14:textId="77777777" w:rsidTr="00D27A50">
        <w:trPr>
          <w:trHeight w:val="290"/>
        </w:trPr>
        <w:tc>
          <w:tcPr>
            <w:cnfStyle w:val="001000000000" w:firstRow="0" w:lastRow="0" w:firstColumn="1" w:lastColumn="0" w:oddVBand="0" w:evenVBand="0" w:oddHBand="0" w:evenHBand="0" w:firstRowFirstColumn="0" w:firstRowLastColumn="0" w:lastRowFirstColumn="0" w:lastRowLastColumn="0"/>
            <w:tcW w:w="2171" w:type="pct"/>
            <w:noWrap/>
            <w:hideMark/>
          </w:tcPr>
          <w:p w14:paraId="00AB27A2" w14:textId="77777777" w:rsidR="00D27A50" w:rsidRPr="00D27A50" w:rsidRDefault="00D27A50" w:rsidP="0033487B">
            <w:pPr>
              <w:pStyle w:val="TableCopy"/>
              <w:keepNext/>
              <w:keepLines/>
            </w:pPr>
            <w:r w:rsidRPr="00D27A50">
              <w:t xml:space="preserve">IIARP </w:t>
            </w:r>
            <w:r w:rsidR="00BC5FE9">
              <w:t>recipients</w:t>
            </w:r>
          </w:p>
        </w:tc>
        <w:tc>
          <w:tcPr>
            <w:tcW w:w="2006" w:type="pct"/>
            <w:noWrap/>
            <w:hideMark/>
          </w:tcPr>
          <w:p w14:paraId="411C0F4C" w14:textId="77777777" w:rsidR="00D27A50" w:rsidRPr="00D27A50" w:rsidRDefault="00D27A50" w:rsidP="0033487B">
            <w:pPr>
              <w:pStyle w:val="TableCopy"/>
              <w:keepNext/>
              <w:keepLines/>
              <w:jc w:val="center"/>
              <w:cnfStyle w:val="000000000000" w:firstRow="0" w:lastRow="0" w:firstColumn="0" w:lastColumn="0" w:oddVBand="0" w:evenVBand="0" w:oddHBand="0" w:evenHBand="0" w:firstRowFirstColumn="0" w:firstRowLastColumn="0" w:lastRowFirstColumn="0" w:lastRowLastColumn="0"/>
            </w:pPr>
            <w:r w:rsidRPr="00D27A50">
              <w:t>63</w:t>
            </w:r>
          </w:p>
        </w:tc>
        <w:tc>
          <w:tcPr>
            <w:tcW w:w="823" w:type="pct"/>
            <w:noWrap/>
            <w:hideMark/>
          </w:tcPr>
          <w:p w14:paraId="6C83BF35" w14:textId="77777777" w:rsidR="00D27A50" w:rsidRPr="00D27A50" w:rsidRDefault="00D27A50" w:rsidP="0033487B">
            <w:pPr>
              <w:pStyle w:val="TableCopy"/>
              <w:keepNext/>
              <w:keepLines/>
              <w:jc w:val="center"/>
              <w:cnfStyle w:val="000000000000" w:firstRow="0" w:lastRow="0" w:firstColumn="0" w:lastColumn="0" w:oddVBand="0" w:evenVBand="0" w:oddHBand="0" w:evenHBand="0" w:firstRowFirstColumn="0" w:firstRowLastColumn="0" w:lastRowFirstColumn="0" w:lastRowLastColumn="0"/>
            </w:pPr>
            <w:r w:rsidRPr="00D27A50">
              <w:t>77</w:t>
            </w:r>
          </w:p>
        </w:tc>
      </w:tr>
      <w:tr w:rsidR="00D27A50" w:rsidRPr="00D27A50" w14:paraId="56D6F77E" w14:textId="77777777" w:rsidTr="00D27A50">
        <w:trPr>
          <w:trHeight w:val="290"/>
        </w:trPr>
        <w:tc>
          <w:tcPr>
            <w:cnfStyle w:val="001000000000" w:firstRow="0" w:lastRow="0" w:firstColumn="1" w:lastColumn="0" w:oddVBand="0" w:evenVBand="0" w:oddHBand="0" w:evenHBand="0" w:firstRowFirstColumn="0" w:firstRowLastColumn="0" w:lastRowFirstColumn="0" w:lastRowLastColumn="0"/>
            <w:tcW w:w="2171" w:type="pct"/>
            <w:noWrap/>
            <w:hideMark/>
          </w:tcPr>
          <w:p w14:paraId="053346D8" w14:textId="77777777" w:rsidR="00D27A50" w:rsidRPr="00D27A50" w:rsidRDefault="00BC5FE9" w:rsidP="0033487B">
            <w:pPr>
              <w:pStyle w:val="TableCopy"/>
              <w:keepNext/>
              <w:keepLines/>
            </w:pPr>
            <w:r>
              <w:t xml:space="preserve">Proportion </w:t>
            </w:r>
          </w:p>
        </w:tc>
        <w:tc>
          <w:tcPr>
            <w:tcW w:w="2006" w:type="pct"/>
            <w:noWrap/>
            <w:hideMark/>
          </w:tcPr>
          <w:p w14:paraId="1B318711" w14:textId="77777777" w:rsidR="00D27A50" w:rsidRPr="00D27A50" w:rsidRDefault="00D27A50" w:rsidP="0033487B">
            <w:pPr>
              <w:pStyle w:val="TableCopy"/>
              <w:keepNext/>
              <w:keepLines/>
              <w:jc w:val="center"/>
              <w:cnfStyle w:val="000000000000" w:firstRow="0" w:lastRow="0" w:firstColumn="0" w:lastColumn="0" w:oddVBand="0" w:evenVBand="0" w:oddHBand="0" w:evenHBand="0" w:firstRowFirstColumn="0" w:firstRowLastColumn="0" w:lastRowFirstColumn="0" w:lastRowLastColumn="0"/>
            </w:pPr>
            <w:r w:rsidRPr="00D27A50">
              <w:t>29.0%</w:t>
            </w:r>
          </w:p>
        </w:tc>
        <w:tc>
          <w:tcPr>
            <w:tcW w:w="823" w:type="pct"/>
            <w:noWrap/>
            <w:hideMark/>
          </w:tcPr>
          <w:p w14:paraId="56174C4D" w14:textId="77777777" w:rsidR="00D27A50" w:rsidRPr="00D27A50" w:rsidRDefault="00D27A50" w:rsidP="0033487B">
            <w:pPr>
              <w:pStyle w:val="TableCopy"/>
              <w:keepNext/>
              <w:keepLines/>
              <w:jc w:val="center"/>
              <w:cnfStyle w:val="000000000000" w:firstRow="0" w:lastRow="0" w:firstColumn="0" w:lastColumn="0" w:oddVBand="0" w:evenVBand="0" w:oddHBand="0" w:evenHBand="0" w:firstRowFirstColumn="0" w:firstRowLastColumn="0" w:lastRowFirstColumn="0" w:lastRowLastColumn="0"/>
            </w:pPr>
            <w:r w:rsidRPr="00D27A50">
              <w:t>27.5%</w:t>
            </w:r>
          </w:p>
        </w:tc>
      </w:tr>
    </w:tbl>
    <w:p w14:paraId="0FE18E98" w14:textId="38206775" w:rsidR="00BC5FE9" w:rsidRDefault="00BC5FE9" w:rsidP="0033487B">
      <w:pPr>
        <w:pStyle w:val="TableNotes"/>
        <w:keepNext/>
        <w:keepLines/>
      </w:pPr>
      <w:r>
        <w:t xml:space="preserve">Source: </w:t>
      </w:r>
      <w:r w:rsidRPr="009056DD">
        <w:t>National Health Workforce Dataset (NHWDS) 2013 – 2015. Provisional registered pharmacist</w:t>
      </w:r>
      <w:r>
        <w:t xml:space="preserve"> location 2013 and 2014</w:t>
      </w:r>
      <w:sdt>
        <w:sdtPr>
          <w:id w:val="1384066717"/>
          <w:citation/>
        </w:sdtPr>
        <w:sdtContent>
          <w:r>
            <w:fldChar w:fldCharType="begin"/>
          </w:r>
          <w:r>
            <w:instrText xml:space="preserve"> CITATION Dep15 \l 3081 </w:instrText>
          </w:r>
          <w:r>
            <w:fldChar w:fldCharType="separate"/>
          </w:r>
          <w:r w:rsidR="0089011F">
            <w:rPr>
              <w:noProof/>
            </w:rPr>
            <w:t xml:space="preserve"> </w:t>
          </w:r>
          <w:r w:rsidR="0089011F" w:rsidRPr="0089011F">
            <w:rPr>
              <w:noProof/>
            </w:rPr>
            <w:t>[23]</w:t>
          </w:r>
          <w:r>
            <w:fldChar w:fldCharType="end"/>
          </w:r>
        </w:sdtContent>
      </w:sdt>
      <w:r w:rsidR="006267FD">
        <w:t xml:space="preserve"> and </w:t>
      </w:r>
      <w:r>
        <w:t xml:space="preserve">IIARP program data from the Pharmacy Guild of Australia </w:t>
      </w:r>
    </w:p>
    <w:p w14:paraId="5B280D52" w14:textId="77777777" w:rsidR="00B346A5" w:rsidRDefault="009C12F9" w:rsidP="009C12F9">
      <w:pPr>
        <w:pStyle w:val="BodyCopy"/>
      </w:pPr>
      <w:r>
        <w:t xml:space="preserve">No </w:t>
      </w:r>
      <w:r w:rsidR="00B117F8">
        <w:t>quantitative</w:t>
      </w:r>
      <w:r>
        <w:t xml:space="preserve"> data was availab</w:t>
      </w:r>
      <w:r w:rsidR="008A5D2D">
        <w:t>le</w:t>
      </w:r>
      <w:r>
        <w:t xml:space="preserve"> on the way in which </w:t>
      </w:r>
      <w:r w:rsidR="00B117F8">
        <w:t>pharmacists</w:t>
      </w:r>
      <w:r>
        <w:t xml:space="preserve"> distributed the funds made avai</w:t>
      </w:r>
      <w:r w:rsidR="008A5D2D">
        <w:t xml:space="preserve">lable </w:t>
      </w:r>
      <w:r>
        <w:t>through the IIARP or IIARP-EP programs</w:t>
      </w:r>
      <w:r w:rsidR="00B117F8">
        <w:t xml:space="preserve">, preventing more detailed </w:t>
      </w:r>
      <w:r w:rsidR="009A6918">
        <w:t>analysis</w:t>
      </w:r>
      <w:r w:rsidR="00B117F8">
        <w:t xml:space="preserve"> of </w:t>
      </w:r>
      <w:r w:rsidR="009A6918">
        <w:t>these</w:t>
      </w:r>
      <w:r w:rsidR="00B117F8">
        <w:t xml:space="preserve"> aspects. </w:t>
      </w:r>
    </w:p>
    <w:p w14:paraId="2A93F428" w14:textId="0366B249" w:rsidR="009C12F9" w:rsidRDefault="00B117F8" w:rsidP="009C12F9">
      <w:pPr>
        <w:pStyle w:val="BodyCopy"/>
      </w:pPr>
      <w:r>
        <w:t>Anecdotally, the IIARP and IIARP-EP programs were considered valuable by peak body groups and pharmacists. The financial assistance offered through the programs was considered to be a major contributor to enabling pharmacist to employ an intern or new graduate. More generally, the programs were considered to contribute to the community</w:t>
      </w:r>
      <w:r w:rsidR="00E26D44">
        <w:t>,</w:t>
      </w:r>
      <w:r>
        <w:t xml:space="preserve"> such as bringing more young people into communities and energising rural pharmacies. </w:t>
      </w:r>
    </w:p>
    <w:p w14:paraId="090A758E" w14:textId="62FA7C1D" w:rsidR="009A6918" w:rsidRPr="00C5720C" w:rsidRDefault="009A6918" w:rsidP="00453658">
      <w:pPr>
        <w:pStyle w:val="Effectiveness"/>
      </w:pPr>
      <w:r>
        <w:t xml:space="preserve">The IIARP and IIARP-EP </w:t>
      </w:r>
      <w:r w:rsidR="00944C53">
        <w:t>programs</w:t>
      </w:r>
      <w:r>
        <w:t xml:space="preserve"> somewhat meet the </w:t>
      </w:r>
      <w:r w:rsidR="00667940">
        <w:t xml:space="preserve">aim </w:t>
      </w:r>
      <w:r>
        <w:t xml:space="preserve">to </w:t>
      </w:r>
      <w:r w:rsidRPr="00C5720C">
        <w:t>enabl</w:t>
      </w:r>
      <w:r>
        <w:t xml:space="preserve">e rural and remote </w:t>
      </w:r>
      <w:r w:rsidRPr="00C5720C">
        <w:t xml:space="preserve">pharmacies to engage pharmacy interns and </w:t>
      </w:r>
      <w:r>
        <w:t xml:space="preserve">new graduates. Some pharmacies may not be able to employ an </w:t>
      </w:r>
      <w:r w:rsidR="00944C53">
        <w:t>intern</w:t>
      </w:r>
      <w:r>
        <w:t xml:space="preserve"> or new graduate without these programs. However, other factors influence the number of non-metropolitan interns and new graduates. Unfortunately, there was insufficient data to determine what the impact of the IIARP and IIARP-EP programs are in relation to other influencers. </w:t>
      </w:r>
    </w:p>
    <w:p w14:paraId="714C85F3" w14:textId="77777777" w:rsidR="00C5720C" w:rsidRDefault="00C5720C" w:rsidP="00DA5675">
      <w:pPr>
        <w:pStyle w:val="Heading4"/>
      </w:pPr>
      <w:r w:rsidRPr="00C5720C">
        <w:t>Efficiency</w:t>
      </w:r>
    </w:p>
    <w:p w14:paraId="1FBBB26A" w14:textId="007900BB" w:rsidR="00DA5675" w:rsidRPr="005F7628" w:rsidRDefault="00DA5675" w:rsidP="00DA5675">
      <w:pPr>
        <w:pStyle w:val="BodyCopy"/>
      </w:pPr>
      <w:r w:rsidRPr="0041222C">
        <w:t xml:space="preserve">The average annual cost </w:t>
      </w:r>
      <w:r w:rsidRPr="005F7628">
        <w:t xml:space="preserve">of the IIARP was estimated at </w:t>
      </w:r>
      <w:r w:rsidRPr="005F7628">
        <w:rPr>
          <w:rFonts w:ascii="Times New Roman" w:hAnsi="Times New Roman"/>
        </w:rPr>
        <w:t>$</w:t>
      </w:r>
      <w:r w:rsidR="005F7628" w:rsidRPr="005F7628">
        <w:rPr>
          <w:rFonts w:ascii="Garamond" w:eastAsia="Times New Roman" w:hAnsi="Garamond"/>
          <w:color w:val="000000"/>
          <w:spacing w:val="0"/>
          <w:szCs w:val="22"/>
          <w:lang w:eastAsia="en-AU"/>
        </w:rPr>
        <w:t>794,472</w:t>
      </w:r>
      <w:r w:rsidRPr="005F7628">
        <w:t xml:space="preserve"> (based on the two financial years for which data was available</w:t>
      </w:r>
      <w:r w:rsidRPr="005F7628">
        <w:rPr>
          <w:rFonts w:ascii="Times New Roman" w:hAnsi="Times New Roman"/>
        </w:rPr>
        <w:t xml:space="preserve"> $</w:t>
      </w:r>
      <w:r w:rsidR="005F7628" w:rsidRPr="005F7628">
        <w:rPr>
          <w:rFonts w:ascii="Garamond" w:eastAsia="Times New Roman" w:hAnsi="Garamond"/>
          <w:color w:val="000000"/>
          <w:spacing w:val="0"/>
          <w:szCs w:val="22"/>
          <w:lang w:eastAsia="en-AU"/>
        </w:rPr>
        <w:t>826,608</w:t>
      </w:r>
      <w:r w:rsidRPr="005F7628">
        <w:t xml:space="preserve"> in 2013</w:t>
      </w:r>
      <w:r w:rsidR="00E26D44" w:rsidRPr="005F7628">
        <w:t>–</w:t>
      </w:r>
      <w:r w:rsidRPr="005F7628">
        <w:t xml:space="preserve">14 and </w:t>
      </w:r>
      <w:r w:rsidRPr="005F7628">
        <w:rPr>
          <w:rFonts w:ascii="Times New Roman" w:hAnsi="Times New Roman"/>
        </w:rPr>
        <w:t>$</w:t>
      </w:r>
      <w:r w:rsidR="005F7628" w:rsidRPr="005F7628">
        <w:rPr>
          <w:rFonts w:ascii="Garamond" w:eastAsia="Times New Roman" w:hAnsi="Garamond"/>
          <w:color w:val="000000"/>
          <w:spacing w:val="0"/>
          <w:szCs w:val="22"/>
          <w:lang w:eastAsia="en-AU"/>
        </w:rPr>
        <w:t>762,335</w:t>
      </w:r>
      <w:r w:rsidRPr="005F7628">
        <w:rPr>
          <w:rFonts w:ascii="Garamond" w:eastAsia="Times New Roman" w:hAnsi="Garamond"/>
          <w:color w:val="000000"/>
          <w:spacing w:val="0"/>
          <w:szCs w:val="22"/>
          <w:lang w:eastAsia="en-AU"/>
        </w:rPr>
        <w:t xml:space="preserve"> </w:t>
      </w:r>
      <w:r w:rsidRPr="005F7628">
        <w:t>in 2014</w:t>
      </w:r>
      <w:r w:rsidR="00E26D44" w:rsidRPr="005F7628">
        <w:t>–</w:t>
      </w:r>
      <w:r w:rsidRPr="005F7628">
        <w:t xml:space="preserve">15). This equates to an average unit cost of </w:t>
      </w:r>
      <w:r w:rsidRPr="005F7628">
        <w:rPr>
          <w:rFonts w:ascii="Times New Roman" w:hAnsi="Times New Roman"/>
        </w:rPr>
        <w:t>$</w:t>
      </w:r>
      <w:r w:rsidRPr="005F7628">
        <w:rPr>
          <w:rFonts w:ascii="Garamond" w:eastAsia="Times New Roman" w:hAnsi="Garamond"/>
          <w:color w:val="000000"/>
          <w:spacing w:val="0"/>
          <w:szCs w:val="22"/>
          <w:lang w:eastAsia="en-AU"/>
        </w:rPr>
        <w:t>10,</w:t>
      </w:r>
      <w:r w:rsidR="005F7628" w:rsidRPr="005F7628">
        <w:rPr>
          <w:rFonts w:ascii="Garamond" w:eastAsia="Times New Roman" w:hAnsi="Garamond"/>
          <w:color w:val="000000"/>
          <w:spacing w:val="0"/>
          <w:szCs w:val="22"/>
          <w:lang w:eastAsia="en-AU"/>
        </w:rPr>
        <w:t>593</w:t>
      </w:r>
      <w:r w:rsidRPr="005F7628">
        <w:rPr>
          <w:rFonts w:ascii="Garamond" w:eastAsia="Times New Roman" w:hAnsi="Garamond"/>
          <w:color w:val="000000"/>
          <w:spacing w:val="0"/>
          <w:szCs w:val="22"/>
          <w:lang w:eastAsia="en-AU"/>
        </w:rPr>
        <w:t xml:space="preserve"> </w:t>
      </w:r>
      <w:r w:rsidRPr="005F7628">
        <w:t xml:space="preserve">per IIARP allowance. </w:t>
      </w:r>
    </w:p>
    <w:p w14:paraId="7EB85F26" w14:textId="77777777" w:rsidR="00DA5675" w:rsidRDefault="00DA5675" w:rsidP="00DA5675">
      <w:pPr>
        <w:pStyle w:val="BodyCopy"/>
      </w:pPr>
      <w:r w:rsidRPr="005F7628">
        <w:lastRenderedPageBreak/>
        <w:t>The administrative component for the IIARP is very low, estimated at 6% of the unit cost.</w:t>
      </w:r>
      <w:r>
        <w:t xml:space="preserve"> </w:t>
      </w:r>
    </w:p>
    <w:p w14:paraId="0227426C" w14:textId="629DD58C" w:rsidR="00DA5675" w:rsidRDefault="00DA5675" w:rsidP="00DA5675">
      <w:pPr>
        <w:spacing w:line="240" w:lineRule="auto"/>
      </w:pPr>
      <w:r>
        <w:t xml:space="preserve">The average annual cost of the IIARP-EP was estimated at </w:t>
      </w:r>
      <w:r>
        <w:rPr>
          <w:rFonts w:ascii="Times New Roman" w:hAnsi="Times New Roman"/>
        </w:rPr>
        <w:t>$</w:t>
      </w:r>
      <w:r w:rsidR="005F7628">
        <w:rPr>
          <w:rFonts w:ascii="Garamond" w:eastAsia="Times New Roman" w:hAnsi="Garamond"/>
          <w:color w:val="000000"/>
          <w:spacing w:val="0"/>
          <w:szCs w:val="22"/>
          <w:lang w:eastAsia="en-AU"/>
        </w:rPr>
        <w:t>185,792</w:t>
      </w:r>
      <w:r>
        <w:rPr>
          <w:rFonts w:ascii="Garamond" w:eastAsia="Times New Roman" w:hAnsi="Garamond"/>
          <w:color w:val="000000"/>
          <w:spacing w:val="0"/>
          <w:szCs w:val="22"/>
          <w:lang w:eastAsia="en-AU"/>
        </w:rPr>
        <w:t xml:space="preserve"> (</w:t>
      </w:r>
      <w:r>
        <w:t>based on the two financial years for which data was available</w:t>
      </w:r>
      <w:r>
        <w:rPr>
          <w:rFonts w:ascii="Times New Roman" w:hAnsi="Times New Roman"/>
        </w:rPr>
        <w:t xml:space="preserve"> $</w:t>
      </w:r>
      <w:r w:rsidR="005F7628">
        <w:rPr>
          <w:rFonts w:ascii="Garamond" w:eastAsia="Times New Roman" w:hAnsi="Garamond"/>
          <w:color w:val="000000"/>
          <w:spacing w:val="0"/>
          <w:szCs w:val="22"/>
          <w:lang w:eastAsia="en-AU"/>
        </w:rPr>
        <w:t>185,679</w:t>
      </w:r>
      <w:r>
        <w:rPr>
          <w:rFonts w:ascii="Garamond" w:eastAsia="Times New Roman" w:hAnsi="Garamond"/>
          <w:color w:val="000000"/>
          <w:spacing w:val="0"/>
          <w:szCs w:val="22"/>
          <w:lang w:eastAsia="en-AU"/>
        </w:rPr>
        <w:t xml:space="preserve"> </w:t>
      </w:r>
      <w:r>
        <w:t>in 2013</w:t>
      </w:r>
      <w:r w:rsidR="00E26D44">
        <w:t>–</w:t>
      </w:r>
      <w:r>
        <w:t xml:space="preserve">14 and </w:t>
      </w:r>
      <w:r>
        <w:rPr>
          <w:rFonts w:ascii="Times New Roman" w:hAnsi="Times New Roman"/>
        </w:rPr>
        <w:t>$</w:t>
      </w:r>
      <w:r w:rsidR="005F7628">
        <w:rPr>
          <w:rFonts w:ascii="Garamond" w:eastAsia="Times New Roman" w:hAnsi="Garamond"/>
          <w:color w:val="000000"/>
          <w:spacing w:val="0"/>
          <w:szCs w:val="22"/>
          <w:lang w:eastAsia="en-AU"/>
        </w:rPr>
        <w:t>185,907</w:t>
      </w:r>
      <w:r>
        <w:rPr>
          <w:rFonts w:ascii="Garamond" w:eastAsia="Times New Roman" w:hAnsi="Garamond"/>
          <w:color w:val="000000"/>
          <w:spacing w:val="0"/>
          <w:szCs w:val="22"/>
          <w:lang w:eastAsia="en-AU"/>
        </w:rPr>
        <w:t xml:space="preserve"> </w:t>
      </w:r>
      <w:r>
        <w:t>in 2014</w:t>
      </w:r>
      <w:r w:rsidR="00E26D44">
        <w:t>–</w:t>
      </w:r>
      <w:r>
        <w:t xml:space="preserve">15). This equates to an average unit cost of </w:t>
      </w:r>
      <w:r>
        <w:rPr>
          <w:rFonts w:ascii="Times New Roman" w:hAnsi="Times New Roman"/>
        </w:rPr>
        <w:t>$</w:t>
      </w:r>
      <w:r w:rsidR="005F7628">
        <w:rPr>
          <w:rFonts w:ascii="Garamond" w:eastAsia="Times New Roman" w:hAnsi="Garamond"/>
          <w:color w:val="000000"/>
          <w:spacing w:val="0"/>
          <w:szCs w:val="22"/>
          <w:lang w:eastAsia="en-AU"/>
        </w:rPr>
        <w:t xml:space="preserve">20,644 </w:t>
      </w:r>
      <w:r>
        <w:t xml:space="preserve">per IIARP-EP allowance. </w:t>
      </w:r>
    </w:p>
    <w:p w14:paraId="372BE866" w14:textId="77777777" w:rsidR="00DA5675" w:rsidRDefault="00DA5675" w:rsidP="00DA5675">
      <w:pPr>
        <w:pStyle w:val="BodyCopy"/>
      </w:pPr>
      <w:r>
        <w:t xml:space="preserve">The administrative component for the IIARP-EP is very low, estimated at 3% of the unit cost. </w:t>
      </w:r>
    </w:p>
    <w:p w14:paraId="2A7F6F9E" w14:textId="63B76456" w:rsidR="007D4780" w:rsidRPr="005F7628" w:rsidRDefault="007D4780" w:rsidP="00453658">
      <w:pPr>
        <w:pStyle w:val="Efficiency"/>
      </w:pPr>
      <w:r w:rsidRPr="005F7628">
        <w:t xml:space="preserve">A single unit cost per </w:t>
      </w:r>
      <w:r w:rsidR="005F7628" w:rsidRPr="005F7628">
        <w:t>IIARP</w:t>
      </w:r>
      <w:r w:rsidRPr="005F7628">
        <w:t xml:space="preserve"> recipient was estimated at </w:t>
      </w:r>
      <w:r w:rsidRPr="005F7628">
        <w:rPr>
          <w:rFonts w:ascii="Times New Roman" w:hAnsi="Times New Roman"/>
        </w:rPr>
        <w:t>$</w:t>
      </w:r>
      <w:r w:rsidR="005F7628" w:rsidRPr="005F7628">
        <w:t>10,593 comprising 6</w:t>
      </w:r>
      <w:r w:rsidRPr="005F7628">
        <w:t>% administration overhead costs</w:t>
      </w:r>
      <w:r w:rsidR="005F7628" w:rsidRPr="005F7628">
        <w:t xml:space="preserve">, while the single unit cost per IIARP-EP recipient was </w:t>
      </w:r>
      <w:r w:rsidR="005F7628" w:rsidRPr="005F7628">
        <w:rPr>
          <w:rFonts w:ascii="Times New Roman" w:hAnsi="Times New Roman"/>
        </w:rPr>
        <w:t>$</w:t>
      </w:r>
      <w:r w:rsidR="005F7628" w:rsidRPr="005F7628">
        <w:t>20,644 comprising 3% of administration overhead costs</w:t>
      </w:r>
      <w:r w:rsidRPr="005F7628">
        <w:t xml:space="preserve">. </w:t>
      </w:r>
      <w:r w:rsidR="005F7628" w:rsidRPr="005F7628">
        <w:t xml:space="preserve">These figures were </w:t>
      </w:r>
      <w:r w:rsidRPr="005F7628">
        <w:t xml:space="preserve">considered </w:t>
      </w:r>
      <w:r w:rsidR="005F7628" w:rsidRPr="005F7628">
        <w:t>within</w:t>
      </w:r>
      <w:r w:rsidRPr="005F7628">
        <w:t xml:space="preserve"> the acceptable range for administration overheads. However, further investigation is required to assess actual time spent administering the program.</w:t>
      </w:r>
    </w:p>
    <w:p w14:paraId="75E9D3B7" w14:textId="77777777" w:rsidR="00DA5675" w:rsidRPr="00DA5675" w:rsidRDefault="00DA5675" w:rsidP="00DA5675">
      <w:pPr>
        <w:pStyle w:val="Heading4"/>
      </w:pPr>
      <w:r>
        <w:t>Options for improving program operation</w:t>
      </w:r>
    </w:p>
    <w:p w14:paraId="266C1316" w14:textId="77777777" w:rsidR="003A297F" w:rsidRDefault="003A297F" w:rsidP="00C5720C">
      <w:pPr>
        <w:pStyle w:val="BodyCopy"/>
      </w:pPr>
      <w:r>
        <w:t xml:space="preserve">Pharmacists and peak body groups consulted with and surveyed were generally supportive of the IIARP and IIARP-EP programs. However, several limitations were noted, as follows: </w:t>
      </w:r>
    </w:p>
    <w:p w14:paraId="1B24F35C" w14:textId="6CF80B91" w:rsidR="003A297F" w:rsidRDefault="003A297F" w:rsidP="003A297F">
      <w:pPr>
        <w:pStyle w:val="Bullets1"/>
      </w:pPr>
      <w:r>
        <w:t xml:space="preserve">the need to review the allowance amounts to reflect </w:t>
      </w:r>
      <w:r w:rsidR="00E26D44">
        <w:t xml:space="preserve">increased </w:t>
      </w:r>
      <w:r>
        <w:t xml:space="preserve">costs associated in intern / new graduate employment </w:t>
      </w:r>
    </w:p>
    <w:p w14:paraId="7398C505" w14:textId="77777777" w:rsidR="003A297F" w:rsidRDefault="003A297F" w:rsidP="003A297F">
      <w:pPr>
        <w:pStyle w:val="Bullets1"/>
      </w:pPr>
      <w:r>
        <w:t>the need to review hospital eligibility criteria</w:t>
      </w:r>
    </w:p>
    <w:p w14:paraId="46CB3E49" w14:textId="77777777" w:rsidR="003A297F" w:rsidRDefault="003A297F" w:rsidP="003A297F">
      <w:pPr>
        <w:pStyle w:val="Bullets1"/>
      </w:pPr>
      <w:r>
        <w:t>the need for greater guidance on how the allowance should be distributed, and</w:t>
      </w:r>
    </w:p>
    <w:p w14:paraId="7E215EE4" w14:textId="77777777" w:rsidR="003A297F" w:rsidRDefault="003A297F" w:rsidP="003A297F">
      <w:pPr>
        <w:pStyle w:val="Bullets1"/>
      </w:pPr>
      <w:r>
        <w:t xml:space="preserve">the restrictiveness of the </w:t>
      </w:r>
      <w:proofErr w:type="spellStart"/>
      <w:r>
        <w:t>PhARIA</w:t>
      </w:r>
      <w:proofErr w:type="spellEnd"/>
      <w:r>
        <w:t xml:space="preserve"> classification criteria. </w:t>
      </w:r>
    </w:p>
    <w:p w14:paraId="61425201" w14:textId="77777777" w:rsidR="00C5720C" w:rsidRDefault="003A297F" w:rsidP="00C5720C">
      <w:pPr>
        <w:pStyle w:val="BodyCopy"/>
      </w:pPr>
      <w:r>
        <w:t xml:space="preserve">Several stakeholders including pharmacists and peak bodies suggested that IIARP funding allowance needed to be increased to better reflect the costs associated with attracting interns of suitable quality to non-metropolitan areas. Many pharmacists commented on the need to advertise internships at a higher wage than metropolitan counter parts, as well as the need to compensate for re-location costs. Some pharmacists also needed to include accommodation costs in the intern package to </w:t>
      </w:r>
      <w:r>
        <w:t xml:space="preserve">recruit suitable candidates. If the IIARP continues as is, HMA feels that a further investigation into the additional costs incurred by pharmacists to employ interns (and new graduates) in non-metropolitan areas is warranted. </w:t>
      </w:r>
    </w:p>
    <w:p w14:paraId="4850CFE6" w14:textId="4A3AEABF" w:rsidR="003A297F" w:rsidRDefault="003A297F" w:rsidP="003A297F">
      <w:pPr>
        <w:pStyle w:val="BodyCopy"/>
      </w:pPr>
      <w:r>
        <w:t>The eligibility criteria for hospital authorities was considered prohibitively restrictive by one peak body group. Currently, the criteria state that hospital pharmacies must be 30</w:t>
      </w:r>
      <w:r w:rsidR="00E26D44">
        <w:t xml:space="preserve"> kilometres </w:t>
      </w:r>
      <w:r>
        <w:t>away from a community pharmacy in order to be eligible for the IIARP allowance. This creates difficulties when hospital and community pharmacies wish to co-sponsor an intern. HMA can see merit in creating more flexible eligibility criteria that promotes co-sponsorship, but would suggest further investigation is required</w:t>
      </w:r>
      <w:r w:rsidR="006D217C">
        <w:t>. This would</w:t>
      </w:r>
      <w:r>
        <w:t xml:space="preserve"> ascertain if hospital pharmacies experience the same difficulties as community pharmacies in attracting interns in non-metropolitan areas, before the allowance is opened up to hospital pharmacies more generally.</w:t>
      </w:r>
    </w:p>
    <w:p w14:paraId="5F4474BB" w14:textId="77777777" w:rsidR="003A297F" w:rsidRDefault="003A297F" w:rsidP="00C5720C">
      <w:pPr>
        <w:pStyle w:val="BodyCopy"/>
      </w:pPr>
      <w:r>
        <w:t xml:space="preserve">Many pharmacists and peak bodies commented that there is great variability in how the IIARP (and IIARP-EP) allowance is distributed. Greater guidance on appropriate use of the funds, including what proportion should be attributed to the intern (or new graduate) wage, would be welcomed by stakeholders. Currently, the way in which the funds are allocated by pharmacists and the impact this has on attracting or retaining an intern (or new graduate) is not reported or analysed. HMA feels that further investigation in these areas would be meaningful. </w:t>
      </w:r>
    </w:p>
    <w:p w14:paraId="603F2364" w14:textId="102DAE7F" w:rsidR="003305CB" w:rsidRDefault="003305CB" w:rsidP="00C5720C">
      <w:pPr>
        <w:pStyle w:val="BodyCopy"/>
      </w:pPr>
      <w:r>
        <w:t xml:space="preserve">The </w:t>
      </w:r>
      <w:proofErr w:type="spellStart"/>
      <w:r>
        <w:t>PhARIA</w:t>
      </w:r>
      <w:proofErr w:type="spellEnd"/>
      <w:r>
        <w:t xml:space="preserve"> classification was an issue for several respondents who queried why eligibility for the </w:t>
      </w:r>
      <w:r w:rsidR="003A297F">
        <w:t xml:space="preserve">IIARP-EP </w:t>
      </w:r>
      <w:r>
        <w:t xml:space="preserve">was limited to </w:t>
      </w:r>
      <w:proofErr w:type="spellStart"/>
      <w:r>
        <w:t>PhARIA</w:t>
      </w:r>
      <w:proofErr w:type="spellEnd"/>
      <w:r>
        <w:t xml:space="preserve"> 4</w:t>
      </w:r>
      <w:r w:rsidR="00E26D44">
        <w:t>–</w:t>
      </w:r>
      <w:r>
        <w:t>6 pharmacies</w:t>
      </w:r>
      <w:r w:rsidR="003A297F">
        <w:t xml:space="preserve">. Workforce data indicates that inner and outer regional locations are able to retain a considerable proportion of interns in the following year (see </w:t>
      </w:r>
      <w:r w:rsidR="003A297F">
        <w:fldChar w:fldCharType="begin"/>
      </w:r>
      <w:r w:rsidR="003A297F">
        <w:instrText xml:space="preserve"> REF _Ref487203184 \h </w:instrText>
      </w:r>
      <w:r w:rsidR="003A297F">
        <w:fldChar w:fldCharType="separate"/>
      </w:r>
      <w:r w:rsidR="00910E65">
        <w:t xml:space="preserve">Table </w:t>
      </w:r>
      <w:r w:rsidR="00910E65">
        <w:rPr>
          <w:noProof/>
        </w:rPr>
        <w:t>3</w:t>
      </w:r>
      <w:r w:rsidR="00910E65">
        <w:t>.</w:t>
      </w:r>
      <w:r w:rsidR="00910E65">
        <w:rPr>
          <w:noProof/>
        </w:rPr>
        <w:t>8</w:t>
      </w:r>
      <w:r w:rsidR="003A297F">
        <w:fldChar w:fldCharType="end"/>
      </w:r>
      <w:r w:rsidR="003A297F">
        <w:t xml:space="preserve">). In contrast, remote and very remote areas only retain 21% of interns as new graduates. Therefore, HMA can see the value in limiting the IIARP-EP to areas of most need. However, HMA queries why the IIARP-EP is capped at 10 allowances and not made available for all IIARP recipients in </w:t>
      </w:r>
      <w:proofErr w:type="spellStart"/>
      <w:r w:rsidR="003A297F">
        <w:t>PhARIA</w:t>
      </w:r>
      <w:proofErr w:type="spellEnd"/>
      <w:r w:rsidR="003A297F">
        <w:t xml:space="preserve"> 4</w:t>
      </w:r>
      <w:r w:rsidR="00E26D44">
        <w:t>–</w:t>
      </w:r>
      <w:r w:rsidR="003A297F">
        <w:t xml:space="preserve">6 locations.  </w:t>
      </w:r>
    </w:p>
    <w:p w14:paraId="63E43F31" w14:textId="25559999" w:rsidR="00944C53" w:rsidRDefault="00342C59" w:rsidP="00453658">
      <w:pPr>
        <w:pStyle w:val="BodyCopy"/>
      </w:pPr>
      <w:r>
        <w:t>Minor modifications to the IIARP and IIARP-EP programs could be made to improve the overall efficiency of the programs. However</w:t>
      </w:r>
      <w:r w:rsidR="00881443">
        <w:t>,</w:t>
      </w:r>
      <w:r>
        <w:t xml:space="preserve"> the economic impact of the modifications would need to be considered. Further investigation into the best mechanisms to attract interns to non-metropolitan areas is required.</w:t>
      </w:r>
    </w:p>
    <w:p w14:paraId="7A883148" w14:textId="521A25F1" w:rsidR="005F623F" w:rsidRDefault="005F623F" w:rsidP="005F623F">
      <w:pPr>
        <w:pStyle w:val="Heading1"/>
      </w:pPr>
      <w:bookmarkStart w:id="69" w:name="_Toc523318818"/>
      <w:r>
        <w:lastRenderedPageBreak/>
        <w:t>Other support programs</w:t>
      </w:r>
      <w:bookmarkEnd w:id="69"/>
    </w:p>
    <w:p w14:paraId="5BE48FB7" w14:textId="24235532" w:rsidR="000B4EDE" w:rsidRPr="00C5720C" w:rsidRDefault="000B4EDE" w:rsidP="007D4780">
      <w:pPr>
        <w:pStyle w:val="Heading2"/>
        <w:spacing w:before="0"/>
      </w:pPr>
      <w:bookmarkStart w:id="70" w:name="_Toc523318819"/>
      <w:r w:rsidRPr="00C5720C">
        <w:t>Rural Pharmacy Liaison Officer Program</w:t>
      </w:r>
      <w:bookmarkEnd w:id="70"/>
    </w:p>
    <w:p w14:paraId="6A6A57F7" w14:textId="5B6858EF" w:rsidR="00C1298F" w:rsidRPr="00C5720C" w:rsidRDefault="00C1298F" w:rsidP="00DA5675">
      <w:pPr>
        <w:pStyle w:val="Heading3"/>
      </w:pPr>
      <w:bookmarkStart w:id="71" w:name="_Toc523318820"/>
      <w:r w:rsidRPr="00C5720C">
        <w:t>Context</w:t>
      </w:r>
      <w:bookmarkEnd w:id="71"/>
    </w:p>
    <w:p w14:paraId="0CBD7B92" w14:textId="450441EA" w:rsidR="00C1298F" w:rsidRPr="00BD5FA2" w:rsidRDefault="00C1298F" w:rsidP="00DA5675">
      <w:pPr>
        <w:pStyle w:val="Heading4"/>
      </w:pPr>
      <w:r w:rsidRPr="00BD5FA2">
        <w:t>Target population</w:t>
      </w:r>
    </w:p>
    <w:p w14:paraId="5C3A4589" w14:textId="46196ABC" w:rsidR="00C1298F" w:rsidRPr="005A77B3" w:rsidRDefault="00C1298F" w:rsidP="00C1298F">
      <w:pPr>
        <w:pStyle w:val="BodyCopy"/>
      </w:pPr>
      <w:r>
        <w:t>The</w:t>
      </w:r>
      <w:r w:rsidR="00E50284">
        <w:t xml:space="preserve"> Rural Pharmacy Liaison Officer</w:t>
      </w:r>
      <w:r>
        <w:t xml:space="preserve"> </w:t>
      </w:r>
      <w:r w:rsidR="00E50284">
        <w:t>(</w:t>
      </w:r>
      <w:r>
        <w:t>RPLO</w:t>
      </w:r>
      <w:r w:rsidR="00E50284">
        <w:t>)</w:t>
      </w:r>
      <w:r>
        <w:t xml:space="preserve"> Program supports the broader rural pharmacy workforce</w:t>
      </w:r>
      <w:r w:rsidR="007F4ED2">
        <w:t>,</w:t>
      </w:r>
      <w:r>
        <w:t xml:space="preserve"> including through a range of local level projects led by RPLOs.</w:t>
      </w:r>
      <w:sdt>
        <w:sdtPr>
          <w:id w:val="1138679193"/>
          <w:citation/>
        </w:sdtPr>
        <w:sdtContent>
          <w:r>
            <w:fldChar w:fldCharType="begin"/>
          </w:r>
          <w:r>
            <w:instrText xml:space="preserve"> CITATION The1510 \l 3081 </w:instrText>
          </w:r>
          <w:r>
            <w:fldChar w:fldCharType="separate"/>
          </w:r>
          <w:r w:rsidR="0089011F">
            <w:rPr>
              <w:noProof/>
            </w:rPr>
            <w:t xml:space="preserve"> </w:t>
          </w:r>
          <w:r w:rsidR="0089011F" w:rsidRPr="0089011F">
            <w:rPr>
              <w:noProof/>
            </w:rPr>
            <w:t>[43]</w:t>
          </w:r>
          <w:r>
            <w:fldChar w:fldCharType="end"/>
          </w:r>
        </w:sdtContent>
      </w:sdt>
      <w:r>
        <w:t xml:space="preserve"> </w:t>
      </w:r>
    </w:p>
    <w:p w14:paraId="428A8D22" w14:textId="7A045C7A" w:rsidR="00C1298F" w:rsidRPr="005F623F" w:rsidRDefault="00C1298F" w:rsidP="005F623F">
      <w:pPr>
        <w:pStyle w:val="Heading4"/>
      </w:pPr>
      <w:r w:rsidRPr="005F623F">
        <w:rPr>
          <w:rStyle w:val="BodyCopyChar"/>
          <w:rFonts w:asciiTheme="majorHAnsi" w:hAnsiTheme="majorHAnsi"/>
          <w:spacing w:val="-3"/>
          <w:sz w:val="24"/>
        </w:rPr>
        <w:t xml:space="preserve">Program </w:t>
      </w:r>
      <w:r w:rsidR="00667940" w:rsidRPr="005F623F">
        <w:rPr>
          <w:rStyle w:val="BodyCopyChar"/>
          <w:rFonts w:asciiTheme="majorHAnsi" w:hAnsiTheme="majorHAnsi"/>
          <w:spacing w:val="-3"/>
          <w:sz w:val="24"/>
        </w:rPr>
        <w:t>aim</w:t>
      </w:r>
    </w:p>
    <w:p w14:paraId="58552E90" w14:textId="145CB37A" w:rsidR="00C1298F" w:rsidRPr="00C5720C" w:rsidRDefault="00C1298F" w:rsidP="00C1298F">
      <w:pPr>
        <w:pStyle w:val="BodyCopy"/>
      </w:pPr>
      <w:r w:rsidRPr="00C5720C">
        <w:t>Th</w:t>
      </w:r>
      <w:r>
        <w:t xml:space="preserve">e </w:t>
      </w:r>
      <w:r w:rsidR="00667940">
        <w:t xml:space="preserve">aim </w:t>
      </w:r>
      <w:r>
        <w:t xml:space="preserve">of the RPLO Program </w:t>
      </w:r>
      <w:r w:rsidRPr="00C5720C">
        <w:t>is to implement local level projects that will:</w:t>
      </w:r>
    </w:p>
    <w:p w14:paraId="56E822A7" w14:textId="7BFF0288" w:rsidR="00C1298F" w:rsidRPr="00C5720C" w:rsidRDefault="00C1298F" w:rsidP="00C1298F">
      <w:pPr>
        <w:pStyle w:val="Bullets1"/>
      </w:pPr>
      <w:r>
        <w:t>p</w:t>
      </w:r>
      <w:r w:rsidRPr="00C5720C">
        <w:t xml:space="preserve">rovide support to both </w:t>
      </w:r>
      <w:r w:rsidR="007F4ED2" w:rsidRPr="00C5720C">
        <w:t>practi</w:t>
      </w:r>
      <w:r w:rsidR="007F4ED2">
        <w:t>s</w:t>
      </w:r>
      <w:r w:rsidR="007F4ED2" w:rsidRPr="00C5720C">
        <w:t xml:space="preserve">ing </w:t>
      </w:r>
      <w:r w:rsidRPr="00C5720C">
        <w:t>rural community pharmacies and to pharmacy students undertaking clinical</w:t>
      </w:r>
      <w:r>
        <w:t xml:space="preserve"> placements in rural areas</w:t>
      </w:r>
    </w:p>
    <w:p w14:paraId="2286406E" w14:textId="77777777" w:rsidR="00C1298F" w:rsidRPr="00C5720C" w:rsidRDefault="00C1298F" w:rsidP="00C1298F">
      <w:pPr>
        <w:pStyle w:val="Bullets1"/>
      </w:pPr>
      <w:r>
        <w:t>p</w:t>
      </w:r>
      <w:r w:rsidRPr="00C5720C">
        <w:t>romote inter-professional collaboration with pharmacies, pharmacists, pharmacy s</w:t>
      </w:r>
      <w:r>
        <w:t>tudents, and other universities</w:t>
      </w:r>
    </w:p>
    <w:p w14:paraId="136274AF" w14:textId="77777777" w:rsidR="00C1298F" w:rsidRPr="00C5720C" w:rsidRDefault="00C1298F" w:rsidP="00C1298F">
      <w:pPr>
        <w:pStyle w:val="Bullets1"/>
      </w:pPr>
      <w:r>
        <w:t>s</w:t>
      </w:r>
      <w:r w:rsidRPr="00C5720C">
        <w:t>trengthen mentoring and advisory arrangements for pharmacies, ph</w:t>
      </w:r>
      <w:r>
        <w:t>armacists and pharmacy students,</w:t>
      </w:r>
      <w:r w:rsidRPr="00C5720C">
        <w:t xml:space="preserve"> and </w:t>
      </w:r>
    </w:p>
    <w:p w14:paraId="4323244F" w14:textId="77777777" w:rsidR="00C1298F" w:rsidRPr="00C5720C" w:rsidRDefault="00C1298F" w:rsidP="00C1298F">
      <w:pPr>
        <w:pStyle w:val="Bullets1"/>
      </w:pPr>
      <w:r>
        <w:t>f</w:t>
      </w:r>
      <w:r w:rsidRPr="00C5720C">
        <w:t>acilitate professional development and networking opportunities for pharmacies, pharmacists and pharmacy students.</w:t>
      </w:r>
    </w:p>
    <w:p w14:paraId="3634B029" w14:textId="77777777" w:rsidR="00C1298F" w:rsidRPr="00C5720C" w:rsidRDefault="00C1298F" w:rsidP="009A65BB">
      <w:pPr>
        <w:pStyle w:val="Heading4"/>
      </w:pPr>
      <w:r w:rsidRPr="00C5720C">
        <w:t>Program delivery method</w:t>
      </w:r>
    </w:p>
    <w:p w14:paraId="1E56D6FC" w14:textId="77777777" w:rsidR="00C1298F" w:rsidRDefault="00C1298F" w:rsidP="00C1298F">
      <w:pPr>
        <w:pStyle w:val="BodyCopy"/>
      </w:pPr>
      <w:r>
        <w:t xml:space="preserve">RPLOs are employed by universities and associated UDRHs under the RPLO Program and operate within </w:t>
      </w:r>
      <w:r w:rsidRPr="00F928FF">
        <w:t>UDRHs</w:t>
      </w:r>
      <w:r>
        <w:t xml:space="preserve"> and pharmacy schools to implement a range of activities that address program aims, including:</w:t>
      </w:r>
    </w:p>
    <w:p w14:paraId="04823CF8" w14:textId="77777777" w:rsidR="00C1298F" w:rsidRDefault="00C1298F" w:rsidP="00C1298F">
      <w:pPr>
        <w:pStyle w:val="Bullets1"/>
      </w:pPr>
      <w:r>
        <w:t>promoting rural pharmacy as a career choice</w:t>
      </w:r>
    </w:p>
    <w:p w14:paraId="1369AB25" w14:textId="564BE8AF" w:rsidR="00C1298F" w:rsidRDefault="00C1298F" w:rsidP="00C1298F">
      <w:pPr>
        <w:pStyle w:val="Bullets1"/>
      </w:pPr>
      <w:r>
        <w:t xml:space="preserve">identifying local areas of need and facilitating local arrangements, in collaboration with other health professionals, to improve patient health </w:t>
      </w:r>
      <w:r w:rsidR="007F4ED2">
        <w:t>out</w:t>
      </w:r>
      <w:r>
        <w:t>comes</w:t>
      </w:r>
    </w:p>
    <w:p w14:paraId="57D774FE" w14:textId="77777777" w:rsidR="00C1298F" w:rsidRDefault="00C1298F" w:rsidP="00C1298F">
      <w:pPr>
        <w:pStyle w:val="Bullets1"/>
      </w:pPr>
      <w:r>
        <w:t>supporting and maintaining the rural pharmacy workforce</w:t>
      </w:r>
    </w:p>
    <w:p w14:paraId="7FB02A35" w14:textId="77777777" w:rsidR="00C1298F" w:rsidRDefault="00C1298F" w:rsidP="00C1298F">
      <w:pPr>
        <w:pStyle w:val="Bullets1"/>
      </w:pPr>
      <w:r>
        <w:t>promoting and supporting local links between pharmacy and other health professionals, and</w:t>
      </w:r>
    </w:p>
    <w:p w14:paraId="24502FB6" w14:textId="2F11F888" w:rsidR="00C1298F" w:rsidRPr="005A77B3" w:rsidRDefault="00C1298F" w:rsidP="00C1298F">
      <w:pPr>
        <w:pStyle w:val="Bullets1"/>
      </w:pPr>
      <w:r>
        <w:t>providing local support structures for pharmacy students undertaking clinical placements.</w:t>
      </w:r>
      <w:sdt>
        <w:sdtPr>
          <w:id w:val="-426805537"/>
          <w:citation/>
        </w:sdtPr>
        <w:sdtContent>
          <w:r>
            <w:fldChar w:fldCharType="begin"/>
          </w:r>
          <w:r>
            <w:instrText xml:space="preserve"> CITATION The1510 \l 3081 </w:instrText>
          </w:r>
          <w:r>
            <w:fldChar w:fldCharType="separate"/>
          </w:r>
          <w:r w:rsidR="0089011F">
            <w:rPr>
              <w:noProof/>
            </w:rPr>
            <w:t xml:space="preserve"> </w:t>
          </w:r>
          <w:r w:rsidR="0089011F" w:rsidRPr="0089011F">
            <w:rPr>
              <w:noProof/>
            </w:rPr>
            <w:t>[43]</w:t>
          </w:r>
          <w:r>
            <w:fldChar w:fldCharType="end"/>
          </w:r>
        </w:sdtContent>
      </w:sdt>
    </w:p>
    <w:p w14:paraId="334327B8" w14:textId="4EF6EEE7" w:rsidR="00C1298F" w:rsidRDefault="00C1298F" w:rsidP="00C1298F">
      <w:pPr>
        <w:pStyle w:val="BodyCopy"/>
      </w:pPr>
      <w:r>
        <w:t>Program data from 2014</w:t>
      </w:r>
      <w:r w:rsidR="007F4ED2">
        <w:t>–</w:t>
      </w:r>
      <w:r>
        <w:t>2016 and consultation with RPLOs provided information on the range of activities undertaken as part of the program.</w:t>
      </w:r>
      <w:sdt>
        <w:sdtPr>
          <w:id w:val="-1938813633"/>
          <w:citation/>
        </w:sdtPr>
        <w:sdtContent>
          <w:r>
            <w:fldChar w:fldCharType="begin"/>
          </w:r>
          <w:r>
            <w:instrText xml:space="preserve"> CITATION The1610 \l 3081 </w:instrText>
          </w:r>
          <w:r>
            <w:fldChar w:fldCharType="separate"/>
          </w:r>
          <w:r w:rsidR="0089011F">
            <w:rPr>
              <w:noProof/>
            </w:rPr>
            <w:t xml:space="preserve"> </w:t>
          </w:r>
          <w:r w:rsidR="0089011F" w:rsidRPr="0089011F">
            <w:rPr>
              <w:noProof/>
            </w:rPr>
            <w:t>[44]</w:t>
          </w:r>
          <w:r>
            <w:fldChar w:fldCharType="end"/>
          </w:r>
        </w:sdtContent>
      </w:sdt>
      <w:r>
        <w:t xml:space="preserve"> Some examples include: </w:t>
      </w:r>
    </w:p>
    <w:p w14:paraId="32578613" w14:textId="77777777" w:rsidR="00C1298F" w:rsidRDefault="00C1298F" w:rsidP="00C1298F">
      <w:pPr>
        <w:pStyle w:val="Bullets1"/>
      </w:pPr>
      <w:r>
        <w:t>planning and execution of immersive rural placement experiences for undergraduate pharmacy students</w:t>
      </w:r>
    </w:p>
    <w:p w14:paraId="62BF64A3" w14:textId="2CBCF4C3" w:rsidR="00C1298F" w:rsidRDefault="00C1298F" w:rsidP="00C1298F">
      <w:pPr>
        <w:pStyle w:val="Bullets1"/>
      </w:pPr>
      <w:r>
        <w:t>c</w:t>
      </w:r>
      <w:r w:rsidRPr="0025353E">
        <w:t>oordination of local site visits</w:t>
      </w:r>
      <w:r>
        <w:t xml:space="preserve"> and community activities</w:t>
      </w:r>
      <w:r w:rsidRPr="0025353E">
        <w:t xml:space="preserve"> for student </w:t>
      </w:r>
      <w:r w:rsidR="00FD1C0D" w:rsidRPr="0025353E">
        <w:t>placement</w:t>
      </w:r>
      <w:r w:rsidR="00FD1C0D">
        <w:t>s</w:t>
      </w:r>
      <w:r w:rsidR="00FD1C0D" w:rsidRPr="0025353E">
        <w:t xml:space="preserve"> </w:t>
      </w:r>
      <w:r w:rsidRPr="0025353E">
        <w:t>in the area</w:t>
      </w:r>
    </w:p>
    <w:p w14:paraId="6384A3F8" w14:textId="77777777" w:rsidR="00C1298F" w:rsidRDefault="00C1298F" w:rsidP="00C1298F">
      <w:pPr>
        <w:pStyle w:val="Bullets1"/>
      </w:pPr>
      <w:r>
        <w:t>hosting of CPD events for local pharmacists and other health professionals, and</w:t>
      </w:r>
    </w:p>
    <w:p w14:paraId="72934A5E" w14:textId="77777777" w:rsidR="00C1298F" w:rsidRDefault="00C1298F" w:rsidP="00C1298F">
      <w:pPr>
        <w:pStyle w:val="Bullets1"/>
      </w:pPr>
      <w:r>
        <w:t>cultural awareness training for pharmacy students.</w:t>
      </w:r>
    </w:p>
    <w:p w14:paraId="1798D9DC" w14:textId="054ACBDE" w:rsidR="00C1298F" w:rsidRPr="00067E82" w:rsidRDefault="00C1298F" w:rsidP="00C1298F">
      <w:pPr>
        <w:pStyle w:val="BodyCopy"/>
      </w:pPr>
      <w:r>
        <w:t>Program funding provides for employment of RPLOs at 0.4 FTE. Currently, the length of contracts between The Guild and</w:t>
      </w:r>
      <w:r w:rsidR="00464F96">
        <w:t xml:space="preserve"> the employing universities</w:t>
      </w:r>
      <w:r w:rsidR="007F4ED2">
        <w:t xml:space="preserve"> of the RPLOs</w:t>
      </w:r>
      <w:r>
        <w:t xml:space="preserve"> are six months. </w:t>
      </w:r>
    </w:p>
    <w:p w14:paraId="5DEA7B00" w14:textId="77777777" w:rsidR="00C1298F" w:rsidRPr="00C5720C" w:rsidRDefault="00C1298F" w:rsidP="00DA5675">
      <w:pPr>
        <w:pStyle w:val="Heading4"/>
      </w:pPr>
      <w:r w:rsidRPr="00C5720C">
        <w:t>Program volumes</w:t>
      </w:r>
    </w:p>
    <w:p w14:paraId="077DA40B" w14:textId="649B2356" w:rsidR="00C1298F" w:rsidRDefault="000A6E82" w:rsidP="00C1298F">
      <w:pPr>
        <w:pStyle w:val="BodyCopy"/>
      </w:pPr>
      <w:r>
        <w:t xml:space="preserve">In 2012, </w:t>
      </w:r>
      <w:r w:rsidR="00027FE6">
        <w:t>ten of the 12 UDRH sites had contracts with RPLOs.</w:t>
      </w:r>
      <w:r w:rsidR="00351FB5">
        <w:t xml:space="preserve"> </w:t>
      </w:r>
      <w:r w:rsidR="00027FE6">
        <w:t xml:space="preserve">During the consultation period, HMA identified </w:t>
      </w:r>
      <w:r w:rsidR="00C1298F">
        <w:t>eight</w:t>
      </w:r>
      <w:r w:rsidR="00027FE6">
        <w:t xml:space="preserve"> sites with RPLO contracts. </w:t>
      </w:r>
      <w:r w:rsidR="0033487B">
        <w:fldChar w:fldCharType="begin"/>
      </w:r>
      <w:r w:rsidR="0033487B">
        <w:instrText xml:space="preserve"> REF _Ref488239842 \h </w:instrText>
      </w:r>
      <w:r w:rsidR="0033487B">
        <w:fldChar w:fldCharType="separate"/>
      </w:r>
      <w:r w:rsidR="00910E65">
        <w:t xml:space="preserve">Table </w:t>
      </w:r>
      <w:r w:rsidR="00910E65">
        <w:rPr>
          <w:noProof/>
        </w:rPr>
        <w:t>4</w:t>
      </w:r>
      <w:r w:rsidR="00910E65">
        <w:t>.</w:t>
      </w:r>
      <w:r w:rsidR="00910E65">
        <w:rPr>
          <w:noProof/>
        </w:rPr>
        <w:t>1</w:t>
      </w:r>
      <w:r w:rsidR="0033487B">
        <w:fldChar w:fldCharType="end"/>
      </w:r>
      <w:r w:rsidR="0033487B">
        <w:t xml:space="preserve"> </w:t>
      </w:r>
      <w:r w:rsidR="00C1298F">
        <w:t xml:space="preserve">details the UDRH sites that had RPLO contracts during the consultation period. </w:t>
      </w:r>
    </w:p>
    <w:p w14:paraId="7A0AE2D4" w14:textId="0ADC16B8" w:rsidR="00C1298F" w:rsidRPr="005140AC" w:rsidRDefault="00C1298F" w:rsidP="006C1202">
      <w:pPr>
        <w:pStyle w:val="Caption"/>
        <w:rPr>
          <w:rStyle w:val="Captionnotbold"/>
        </w:rPr>
      </w:pPr>
      <w:bookmarkStart w:id="72" w:name="_Ref487549925"/>
      <w:bookmarkStart w:id="73" w:name="_Ref488239842"/>
      <w:r>
        <w:lastRenderedPageBreak/>
        <w:t xml:space="preserve">Table </w:t>
      </w:r>
      <w:bookmarkEnd w:id="72"/>
      <w:r w:rsidR="009C4536">
        <w:fldChar w:fldCharType="begin"/>
      </w:r>
      <w:r w:rsidR="009C4536">
        <w:instrText xml:space="preserve"> STYLEREF 1 \s </w:instrText>
      </w:r>
      <w:r w:rsidR="009C4536">
        <w:fldChar w:fldCharType="separate"/>
      </w:r>
      <w:r w:rsidR="00910E65">
        <w:rPr>
          <w:noProof/>
        </w:rPr>
        <w:t>4</w:t>
      </w:r>
      <w:r w:rsidR="009C4536">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1</w:t>
      </w:r>
      <w:r w:rsidR="00BC6E6C">
        <w:rPr>
          <w:noProof/>
        </w:rPr>
        <w:fldChar w:fldCharType="end"/>
      </w:r>
      <w:bookmarkEnd w:id="73"/>
      <w:r>
        <w:t xml:space="preserve">: </w:t>
      </w:r>
      <w:r>
        <w:rPr>
          <w:rStyle w:val="Captionnotbold"/>
        </w:rPr>
        <w:t>Current RPLO contracts by UDRH</w:t>
      </w:r>
    </w:p>
    <w:tbl>
      <w:tblPr>
        <w:tblStyle w:val="HMATable"/>
        <w:tblW w:w="0" w:type="auto"/>
        <w:tblLook w:val="04A0" w:firstRow="1" w:lastRow="0" w:firstColumn="1" w:lastColumn="0" w:noHBand="0" w:noVBand="1"/>
        <w:tblCaption w:val="Table 4.1: Current RPLO contracts by UDRH"/>
        <w:tblDescription w:val="Table 4.1: Current RPLO contracts by UDRH site by jurisdiction by RPLO contract."/>
      </w:tblPr>
      <w:tblGrid>
        <w:gridCol w:w="4941"/>
        <w:gridCol w:w="1150"/>
        <w:gridCol w:w="943"/>
      </w:tblGrid>
      <w:tr w:rsidR="00C1298F" w14:paraId="3F346716" w14:textId="77777777" w:rsidTr="0019788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941" w:type="dxa"/>
          </w:tcPr>
          <w:p w14:paraId="0EACDEFF" w14:textId="77777777" w:rsidR="00C1298F" w:rsidRDefault="00C1298F" w:rsidP="006C1202">
            <w:pPr>
              <w:pStyle w:val="TableColumnHeading"/>
            </w:pPr>
            <w:r>
              <w:t>UDRH site</w:t>
            </w:r>
          </w:p>
        </w:tc>
        <w:tc>
          <w:tcPr>
            <w:tcW w:w="1150" w:type="dxa"/>
          </w:tcPr>
          <w:p w14:paraId="18F39968" w14:textId="77777777" w:rsidR="00C1298F" w:rsidRDefault="00C1298F" w:rsidP="006C1202">
            <w:pPr>
              <w:pStyle w:val="TableColumnHeading"/>
              <w:cnfStyle w:val="100000000000" w:firstRow="1" w:lastRow="0" w:firstColumn="0" w:lastColumn="0" w:oddVBand="0" w:evenVBand="0" w:oddHBand="0" w:evenHBand="0" w:firstRowFirstColumn="0" w:firstRowLastColumn="0" w:lastRowFirstColumn="0" w:lastRowLastColumn="0"/>
            </w:pPr>
            <w:r>
              <w:t>Jurisdiction</w:t>
            </w:r>
          </w:p>
        </w:tc>
        <w:tc>
          <w:tcPr>
            <w:tcW w:w="943" w:type="dxa"/>
          </w:tcPr>
          <w:p w14:paraId="5450EA2B" w14:textId="77777777" w:rsidR="00C1298F" w:rsidRDefault="00C1298F" w:rsidP="006C1202">
            <w:pPr>
              <w:pStyle w:val="TableColumnHeading"/>
              <w:cnfStyle w:val="100000000000" w:firstRow="1" w:lastRow="0" w:firstColumn="0" w:lastColumn="0" w:oddVBand="0" w:evenVBand="0" w:oddHBand="0" w:evenHBand="0" w:firstRowFirstColumn="0" w:firstRowLastColumn="0" w:lastRowFirstColumn="0" w:lastRowLastColumn="0"/>
            </w:pPr>
            <w:r>
              <w:t>RPLO contract</w:t>
            </w:r>
          </w:p>
        </w:tc>
      </w:tr>
      <w:tr w:rsidR="00C1298F" w14:paraId="19D1BE62" w14:textId="77777777" w:rsidTr="00197882">
        <w:tc>
          <w:tcPr>
            <w:cnfStyle w:val="001000000000" w:firstRow="0" w:lastRow="0" w:firstColumn="1" w:lastColumn="0" w:oddVBand="0" w:evenVBand="0" w:oddHBand="0" w:evenHBand="0" w:firstRowFirstColumn="0" w:firstRowLastColumn="0" w:lastRowFirstColumn="0" w:lastRowLastColumn="0"/>
            <w:tcW w:w="4941" w:type="dxa"/>
          </w:tcPr>
          <w:p w14:paraId="58638D4F" w14:textId="77777777" w:rsidR="00C1298F" w:rsidRPr="00631F0E" w:rsidRDefault="00C1298F" w:rsidP="006C1202">
            <w:pPr>
              <w:pStyle w:val="TableCopy"/>
              <w:keepNext/>
            </w:pPr>
            <w:r w:rsidRPr="00631F0E">
              <w:t>Centre for Remote Health, Alice Springs</w:t>
            </w:r>
          </w:p>
        </w:tc>
        <w:tc>
          <w:tcPr>
            <w:tcW w:w="1150" w:type="dxa"/>
          </w:tcPr>
          <w:p w14:paraId="7E30F320" w14:textId="77777777" w:rsidR="00C1298F" w:rsidRDefault="00C1298F" w:rsidP="006C1202">
            <w:pPr>
              <w:pStyle w:val="TableCopy"/>
              <w:keepNext/>
              <w:jc w:val="center"/>
              <w:cnfStyle w:val="000000000000" w:firstRow="0" w:lastRow="0" w:firstColumn="0" w:lastColumn="0" w:oddVBand="0" w:evenVBand="0" w:oddHBand="0" w:evenHBand="0" w:firstRowFirstColumn="0" w:firstRowLastColumn="0" w:lastRowFirstColumn="0" w:lastRowLastColumn="0"/>
            </w:pPr>
            <w:r>
              <w:t>NT</w:t>
            </w:r>
          </w:p>
        </w:tc>
        <w:tc>
          <w:tcPr>
            <w:tcW w:w="943" w:type="dxa"/>
          </w:tcPr>
          <w:p w14:paraId="36EC1440" w14:textId="77777777" w:rsidR="00C1298F" w:rsidRDefault="00C1298F" w:rsidP="006C1202">
            <w:pPr>
              <w:pStyle w:val="TableCopy"/>
              <w:keepNext/>
              <w:jc w:val="center"/>
              <w:cnfStyle w:val="000000000000" w:firstRow="0" w:lastRow="0" w:firstColumn="0" w:lastColumn="0" w:oddVBand="0" w:evenVBand="0" w:oddHBand="0" w:evenHBand="0" w:firstRowFirstColumn="0" w:firstRowLastColumn="0" w:lastRowFirstColumn="0" w:lastRowLastColumn="0"/>
            </w:pPr>
            <w:r>
              <w:rPr>
                <w:rFonts w:ascii="Wingdings 2" w:hAnsi="Wingdings 2"/>
              </w:rPr>
              <w:sym w:font="Wingdings 2" w:char="F050"/>
            </w:r>
          </w:p>
        </w:tc>
      </w:tr>
      <w:tr w:rsidR="00C1298F" w14:paraId="20ADB93C" w14:textId="77777777" w:rsidTr="00197882">
        <w:tc>
          <w:tcPr>
            <w:cnfStyle w:val="001000000000" w:firstRow="0" w:lastRow="0" w:firstColumn="1" w:lastColumn="0" w:oddVBand="0" w:evenVBand="0" w:oddHBand="0" w:evenHBand="0" w:firstRowFirstColumn="0" w:firstRowLastColumn="0" w:lastRowFirstColumn="0" w:lastRowLastColumn="0"/>
            <w:tcW w:w="4941" w:type="dxa"/>
          </w:tcPr>
          <w:p w14:paraId="1E8174FE" w14:textId="77777777" w:rsidR="00C1298F" w:rsidRPr="00631F0E" w:rsidRDefault="00C1298F" w:rsidP="006C1202">
            <w:pPr>
              <w:pStyle w:val="TableCopy"/>
              <w:keepNext/>
            </w:pPr>
            <w:r w:rsidRPr="00631F0E">
              <w:t xml:space="preserve">University Centre for Rural Health – North </w:t>
            </w:r>
            <w:r>
              <w:t>Coast</w:t>
            </w:r>
          </w:p>
        </w:tc>
        <w:tc>
          <w:tcPr>
            <w:tcW w:w="1150" w:type="dxa"/>
          </w:tcPr>
          <w:p w14:paraId="6772015F" w14:textId="77777777" w:rsidR="00C1298F" w:rsidRDefault="00C1298F" w:rsidP="006C1202">
            <w:pPr>
              <w:pStyle w:val="TableCopy"/>
              <w:keepNext/>
              <w:jc w:val="center"/>
              <w:cnfStyle w:val="000000000000" w:firstRow="0" w:lastRow="0" w:firstColumn="0" w:lastColumn="0" w:oddVBand="0" w:evenVBand="0" w:oddHBand="0" w:evenHBand="0" w:firstRowFirstColumn="0" w:firstRowLastColumn="0" w:lastRowFirstColumn="0" w:lastRowLastColumn="0"/>
            </w:pPr>
            <w:r>
              <w:t>NSW</w:t>
            </w:r>
          </w:p>
        </w:tc>
        <w:tc>
          <w:tcPr>
            <w:tcW w:w="943" w:type="dxa"/>
          </w:tcPr>
          <w:p w14:paraId="1BAB9632" w14:textId="77777777" w:rsidR="00C1298F" w:rsidRDefault="00C1298F" w:rsidP="006C1202">
            <w:pPr>
              <w:pStyle w:val="TableCopy"/>
              <w:keepNext/>
              <w:jc w:val="center"/>
              <w:cnfStyle w:val="000000000000" w:firstRow="0" w:lastRow="0" w:firstColumn="0" w:lastColumn="0" w:oddVBand="0" w:evenVBand="0" w:oddHBand="0" w:evenHBand="0" w:firstRowFirstColumn="0" w:firstRowLastColumn="0" w:lastRowFirstColumn="0" w:lastRowLastColumn="0"/>
            </w:pPr>
            <w:r>
              <w:rPr>
                <w:rFonts w:ascii="Wingdings 2" w:hAnsi="Wingdings 2"/>
              </w:rPr>
              <w:sym w:font="Wingdings 2" w:char="F050"/>
            </w:r>
          </w:p>
        </w:tc>
      </w:tr>
      <w:tr w:rsidR="00C1298F" w14:paraId="26B75ED2" w14:textId="77777777" w:rsidTr="00197882">
        <w:tc>
          <w:tcPr>
            <w:cnfStyle w:val="001000000000" w:firstRow="0" w:lastRow="0" w:firstColumn="1" w:lastColumn="0" w:oddVBand="0" w:evenVBand="0" w:oddHBand="0" w:evenHBand="0" w:firstRowFirstColumn="0" w:firstRowLastColumn="0" w:lastRowFirstColumn="0" w:lastRowLastColumn="0"/>
            <w:tcW w:w="4941" w:type="dxa"/>
          </w:tcPr>
          <w:p w14:paraId="43A7E7B2" w14:textId="77777777" w:rsidR="00C1298F" w:rsidRPr="00631F0E" w:rsidRDefault="00C1298F" w:rsidP="00017248">
            <w:pPr>
              <w:pStyle w:val="TableCopy"/>
            </w:pPr>
            <w:r w:rsidRPr="00631F0E">
              <w:t>University of Newcastle Department of Rural Health</w:t>
            </w:r>
          </w:p>
        </w:tc>
        <w:tc>
          <w:tcPr>
            <w:tcW w:w="1150" w:type="dxa"/>
          </w:tcPr>
          <w:p w14:paraId="1B707AA6"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t>NSW</w:t>
            </w:r>
          </w:p>
        </w:tc>
        <w:tc>
          <w:tcPr>
            <w:tcW w:w="943" w:type="dxa"/>
          </w:tcPr>
          <w:p w14:paraId="451DE3C2"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rPr>
                <w:rFonts w:ascii="Wingdings 2" w:hAnsi="Wingdings 2"/>
              </w:rPr>
              <w:sym w:font="Wingdings 2" w:char="F050"/>
            </w:r>
          </w:p>
        </w:tc>
      </w:tr>
      <w:tr w:rsidR="00C1298F" w14:paraId="21EF80B0" w14:textId="77777777" w:rsidTr="00197882">
        <w:tc>
          <w:tcPr>
            <w:cnfStyle w:val="001000000000" w:firstRow="0" w:lastRow="0" w:firstColumn="1" w:lastColumn="0" w:oddVBand="0" w:evenVBand="0" w:oddHBand="0" w:evenHBand="0" w:firstRowFirstColumn="0" w:firstRowLastColumn="0" w:lastRowFirstColumn="0" w:lastRowLastColumn="0"/>
            <w:tcW w:w="4941" w:type="dxa"/>
          </w:tcPr>
          <w:p w14:paraId="63BD73DB" w14:textId="77777777" w:rsidR="00C1298F" w:rsidRPr="00631F0E" w:rsidRDefault="00C1298F" w:rsidP="00017248">
            <w:pPr>
              <w:pStyle w:val="TableCopy"/>
            </w:pPr>
            <w:r w:rsidRPr="00631F0E">
              <w:t>Mount Isa Centre for Rural and Remote Health</w:t>
            </w:r>
          </w:p>
        </w:tc>
        <w:tc>
          <w:tcPr>
            <w:tcW w:w="1150" w:type="dxa"/>
          </w:tcPr>
          <w:p w14:paraId="76128307"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t>Qld</w:t>
            </w:r>
          </w:p>
        </w:tc>
        <w:tc>
          <w:tcPr>
            <w:tcW w:w="943" w:type="dxa"/>
          </w:tcPr>
          <w:p w14:paraId="3F39A804"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rPr>
                <w:rFonts w:ascii="Wingdings 2" w:hAnsi="Wingdings 2"/>
              </w:rPr>
              <w:sym w:font="Wingdings 2" w:char="F050"/>
            </w:r>
          </w:p>
        </w:tc>
      </w:tr>
      <w:tr w:rsidR="00C1298F" w14:paraId="2392965E" w14:textId="77777777" w:rsidTr="00197882">
        <w:tc>
          <w:tcPr>
            <w:cnfStyle w:val="001000000000" w:firstRow="0" w:lastRow="0" w:firstColumn="1" w:lastColumn="0" w:oddVBand="0" w:evenVBand="0" w:oddHBand="0" w:evenHBand="0" w:firstRowFirstColumn="0" w:firstRowLastColumn="0" w:lastRowFirstColumn="0" w:lastRowLastColumn="0"/>
            <w:tcW w:w="4941" w:type="dxa"/>
          </w:tcPr>
          <w:p w14:paraId="7C28B49A" w14:textId="77777777" w:rsidR="00C1298F" w:rsidRPr="00631F0E" w:rsidRDefault="00C1298F" w:rsidP="00017248">
            <w:pPr>
              <w:pStyle w:val="TableCopy"/>
            </w:pPr>
            <w:proofErr w:type="spellStart"/>
            <w:r w:rsidRPr="00631F0E">
              <w:t>UniSA</w:t>
            </w:r>
            <w:proofErr w:type="spellEnd"/>
            <w:r w:rsidRPr="00631F0E">
              <w:t xml:space="preserve"> Department of Rural Health, Division of Health Sciences</w:t>
            </w:r>
          </w:p>
        </w:tc>
        <w:tc>
          <w:tcPr>
            <w:tcW w:w="1150" w:type="dxa"/>
          </w:tcPr>
          <w:p w14:paraId="40A581E3"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t>SA</w:t>
            </w:r>
          </w:p>
        </w:tc>
        <w:tc>
          <w:tcPr>
            <w:tcW w:w="943" w:type="dxa"/>
          </w:tcPr>
          <w:p w14:paraId="2874CABE"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rPr>
                <w:rFonts w:ascii="Wingdings 2" w:hAnsi="Wingdings 2"/>
              </w:rPr>
              <w:sym w:font="Wingdings 2" w:char="F050"/>
            </w:r>
          </w:p>
        </w:tc>
      </w:tr>
      <w:tr w:rsidR="00C1298F" w14:paraId="6A487AF1" w14:textId="77777777" w:rsidTr="00197882">
        <w:tc>
          <w:tcPr>
            <w:cnfStyle w:val="001000000000" w:firstRow="0" w:lastRow="0" w:firstColumn="1" w:lastColumn="0" w:oddVBand="0" w:evenVBand="0" w:oddHBand="0" w:evenHBand="0" w:firstRowFirstColumn="0" w:firstRowLastColumn="0" w:lastRowFirstColumn="0" w:lastRowLastColumn="0"/>
            <w:tcW w:w="4941" w:type="dxa"/>
          </w:tcPr>
          <w:p w14:paraId="499F6898" w14:textId="77777777" w:rsidR="00C1298F" w:rsidRPr="00631F0E" w:rsidRDefault="00C1298F" w:rsidP="00017248">
            <w:pPr>
              <w:pStyle w:val="TableCopy"/>
            </w:pPr>
            <w:r w:rsidRPr="00631F0E">
              <w:t xml:space="preserve">Monash University Department of Rural and Indigenous Health </w:t>
            </w:r>
          </w:p>
        </w:tc>
        <w:tc>
          <w:tcPr>
            <w:tcW w:w="1150" w:type="dxa"/>
          </w:tcPr>
          <w:p w14:paraId="037C5DE6"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t>Vic</w:t>
            </w:r>
          </w:p>
        </w:tc>
        <w:tc>
          <w:tcPr>
            <w:tcW w:w="943" w:type="dxa"/>
          </w:tcPr>
          <w:p w14:paraId="552AE964"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rPr>
                <w:rFonts w:ascii="Wingdings 2" w:hAnsi="Wingdings 2"/>
              </w:rPr>
              <w:sym w:font="Wingdings 2" w:char="F050"/>
            </w:r>
          </w:p>
        </w:tc>
      </w:tr>
      <w:tr w:rsidR="00C1298F" w14:paraId="7E12636F" w14:textId="77777777" w:rsidTr="00197882">
        <w:tc>
          <w:tcPr>
            <w:cnfStyle w:val="001000000000" w:firstRow="0" w:lastRow="0" w:firstColumn="1" w:lastColumn="0" w:oddVBand="0" w:evenVBand="0" w:oddHBand="0" w:evenHBand="0" w:firstRowFirstColumn="0" w:firstRowLastColumn="0" w:lastRowFirstColumn="0" w:lastRowLastColumn="0"/>
            <w:tcW w:w="4941" w:type="dxa"/>
          </w:tcPr>
          <w:p w14:paraId="79A152AD" w14:textId="77777777" w:rsidR="00C1298F" w:rsidRPr="00631F0E" w:rsidRDefault="00C1298F" w:rsidP="00017248">
            <w:pPr>
              <w:pStyle w:val="TableCopy"/>
            </w:pPr>
            <w:r w:rsidRPr="00631F0E">
              <w:t>Department of Rural Health, University of Melbourne</w:t>
            </w:r>
          </w:p>
        </w:tc>
        <w:tc>
          <w:tcPr>
            <w:tcW w:w="1150" w:type="dxa"/>
          </w:tcPr>
          <w:p w14:paraId="3CEDC2F7"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t>Vic</w:t>
            </w:r>
          </w:p>
        </w:tc>
        <w:tc>
          <w:tcPr>
            <w:tcW w:w="943" w:type="dxa"/>
          </w:tcPr>
          <w:p w14:paraId="085D4AFC"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rPr>
                <w:rFonts w:ascii="Wingdings 2" w:hAnsi="Wingdings 2"/>
              </w:rPr>
              <w:sym w:font="Wingdings 2" w:char="F050"/>
            </w:r>
          </w:p>
        </w:tc>
      </w:tr>
      <w:tr w:rsidR="00C1298F" w14:paraId="2A7BC0C7" w14:textId="77777777" w:rsidTr="00197882">
        <w:tc>
          <w:tcPr>
            <w:cnfStyle w:val="001000000000" w:firstRow="0" w:lastRow="0" w:firstColumn="1" w:lastColumn="0" w:oddVBand="0" w:evenVBand="0" w:oddHBand="0" w:evenHBand="0" w:firstRowFirstColumn="0" w:firstRowLastColumn="0" w:lastRowFirstColumn="0" w:lastRowLastColumn="0"/>
            <w:tcW w:w="4941" w:type="dxa"/>
          </w:tcPr>
          <w:p w14:paraId="227D9AE1" w14:textId="77777777" w:rsidR="00C1298F" w:rsidRPr="00631F0E" w:rsidRDefault="00C1298F" w:rsidP="00017248">
            <w:pPr>
              <w:pStyle w:val="TableCopy"/>
            </w:pPr>
            <w:r w:rsidRPr="00631F0E">
              <w:t>Western Australian Centre for Rural Health</w:t>
            </w:r>
          </w:p>
        </w:tc>
        <w:tc>
          <w:tcPr>
            <w:tcW w:w="1150" w:type="dxa"/>
          </w:tcPr>
          <w:p w14:paraId="47AB5F76"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t>WA</w:t>
            </w:r>
          </w:p>
        </w:tc>
        <w:tc>
          <w:tcPr>
            <w:tcW w:w="943" w:type="dxa"/>
          </w:tcPr>
          <w:p w14:paraId="147A14C7"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rPr>
                <w:rFonts w:ascii="Wingdings 2" w:hAnsi="Wingdings 2"/>
              </w:rPr>
              <w:sym w:font="Wingdings 2" w:char="F050"/>
            </w:r>
          </w:p>
        </w:tc>
      </w:tr>
      <w:tr w:rsidR="00C1298F" w14:paraId="154D5741" w14:textId="77777777" w:rsidTr="00197882">
        <w:tc>
          <w:tcPr>
            <w:cnfStyle w:val="001000000000" w:firstRow="0" w:lastRow="0" w:firstColumn="1" w:lastColumn="0" w:oddVBand="0" w:evenVBand="0" w:oddHBand="0" w:evenHBand="0" w:firstRowFirstColumn="0" w:firstRowLastColumn="0" w:lastRowFirstColumn="0" w:lastRowLastColumn="0"/>
            <w:tcW w:w="4941" w:type="dxa"/>
          </w:tcPr>
          <w:p w14:paraId="689F6BC1" w14:textId="77777777" w:rsidR="00C1298F" w:rsidRDefault="00C1298F" w:rsidP="00017248">
            <w:pPr>
              <w:pStyle w:val="TableCopy"/>
            </w:pPr>
            <w:r>
              <w:t>Flinders Rural Health SA, Flinders University</w:t>
            </w:r>
          </w:p>
        </w:tc>
        <w:tc>
          <w:tcPr>
            <w:tcW w:w="1150" w:type="dxa"/>
          </w:tcPr>
          <w:p w14:paraId="46F5C6AC"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t>SA</w:t>
            </w:r>
          </w:p>
        </w:tc>
        <w:tc>
          <w:tcPr>
            <w:tcW w:w="943" w:type="dxa"/>
          </w:tcPr>
          <w:p w14:paraId="5DD37C1D"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t>X</w:t>
            </w:r>
          </w:p>
        </w:tc>
      </w:tr>
      <w:tr w:rsidR="00C1298F" w14:paraId="2D142995" w14:textId="77777777" w:rsidTr="00197882">
        <w:tc>
          <w:tcPr>
            <w:cnfStyle w:val="001000000000" w:firstRow="0" w:lastRow="0" w:firstColumn="1" w:lastColumn="0" w:oddVBand="0" w:evenVBand="0" w:oddHBand="0" w:evenHBand="0" w:firstRowFirstColumn="0" w:firstRowLastColumn="0" w:lastRowFirstColumn="0" w:lastRowLastColumn="0"/>
            <w:tcW w:w="4941" w:type="dxa"/>
          </w:tcPr>
          <w:p w14:paraId="53190F9C" w14:textId="77777777" w:rsidR="00C1298F" w:rsidRDefault="00C1298F" w:rsidP="00017248">
            <w:pPr>
              <w:pStyle w:val="TableCopy"/>
            </w:pPr>
            <w:r>
              <w:t>Centre for Rural Health, University of Tasmania</w:t>
            </w:r>
          </w:p>
        </w:tc>
        <w:tc>
          <w:tcPr>
            <w:tcW w:w="1150" w:type="dxa"/>
          </w:tcPr>
          <w:p w14:paraId="0378B9F4"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t>Tas</w:t>
            </w:r>
          </w:p>
        </w:tc>
        <w:tc>
          <w:tcPr>
            <w:tcW w:w="943" w:type="dxa"/>
          </w:tcPr>
          <w:p w14:paraId="498276CB" w14:textId="77777777" w:rsidR="00C1298F" w:rsidRPr="005140AC"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X</w:t>
            </w:r>
          </w:p>
        </w:tc>
      </w:tr>
      <w:tr w:rsidR="00C1298F" w14:paraId="681CE38C" w14:textId="77777777" w:rsidTr="00197882">
        <w:tc>
          <w:tcPr>
            <w:cnfStyle w:val="001000000000" w:firstRow="0" w:lastRow="0" w:firstColumn="1" w:lastColumn="0" w:oddVBand="0" w:evenVBand="0" w:oddHBand="0" w:evenHBand="0" w:firstRowFirstColumn="0" w:firstRowLastColumn="0" w:lastRowFirstColumn="0" w:lastRowLastColumn="0"/>
            <w:tcW w:w="4941" w:type="dxa"/>
          </w:tcPr>
          <w:p w14:paraId="798BF8D1" w14:textId="77777777" w:rsidR="00C1298F" w:rsidRDefault="00C1298F" w:rsidP="00017248">
            <w:pPr>
              <w:pStyle w:val="TableCopy"/>
            </w:pPr>
            <w:r>
              <w:t>Deakin Rural Health</w:t>
            </w:r>
          </w:p>
        </w:tc>
        <w:tc>
          <w:tcPr>
            <w:tcW w:w="1150" w:type="dxa"/>
          </w:tcPr>
          <w:p w14:paraId="09D552E7"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t>Vic</w:t>
            </w:r>
          </w:p>
        </w:tc>
        <w:tc>
          <w:tcPr>
            <w:tcW w:w="943" w:type="dxa"/>
          </w:tcPr>
          <w:p w14:paraId="57DA2DD3"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t>X</w:t>
            </w:r>
          </w:p>
        </w:tc>
      </w:tr>
      <w:tr w:rsidR="00C1298F" w:rsidRPr="00AE77B3" w14:paraId="344FC892" w14:textId="77777777" w:rsidTr="00197882">
        <w:tc>
          <w:tcPr>
            <w:cnfStyle w:val="001000000000" w:firstRow="0" w:lastRow="0" w:firstColumn="1" w:lastColumn="0" w:oddVBand="0" w:evenVBand="0" w:oddHBand="0" w:evenHBand="0" w:firstRowFirstColumn="0" w:firstRowLastColumn="0" w:lastRowFirstColumn="0" w:lastRowLastColumn="0"/>
            <w:tcW w:w="4941" w:type="dxa"/>
          </w:tcPr>
          <w:p w14:paraId="37526147" w14:textId="77777777" w:rsidR="00C1298F" w:rsidRPr="00AE77B3" w:rsidRDefault="00C1298F" w:rsidP="00017248">
            <w:pPr>
              <w:pStyle w:val="TableCopy"/>
            </w:pPr>
            <w:r w:rsidRPr="00AE77B3">
              <w:t>Broken Hill University Department of Rural Health</w:t>
            </w:r>
          </w:p>
        </w:tc>
        <w:tc>
          <w:tcPr>
            <w:tcW w:w="1150" w:type="dxa"/>
          </w:tcPr>
          <w:p w14:paraId="6E6ABE73" w14:textId="77777777" w:rsidR="00C1298F" w:rsidRPr="00AE77B3"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rsidRPr="00AE77B3">
              <w:t>NSW</w:t>
            </w:r>
          </w:p>
        </w:tc>
        <w:tc>
          <w:tcPr>
            <w:tcW w:w="943" w:type="dxa"/>
          </w:tcPr>
          <w:p w14:paraId="101943EE" w14:textId="77777777" w:rsidR="00C1298F" w:rsidRPr="00AE77B3"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rsidRPr="00AE77B3">
              <w:t>X</w:t>
            </w:r>
          </w:p>
        </w:tc>
      </w:tr>
    </w:tbl>
    <w:p w14:paraId="73CE4AF9" w14:textId="77777777" w:rsidR="00C1298F" w:rsidRPr="00AE77B3" w:rsidRDefault="00C1298F" w:rsidP="00DA5675">
      <w:pPr>
        <w:pStyle w:val="Heading3"/>
      </w:pPr>
      <w:bookmarkStart w:id="74" w:name="_Toc523318821"/>
      <w:r w:rsidRPr="00AE77B3">
        <w:t>Evaluation findings</w:t>
      </w:r>
      <w:bookmarkEnd w:id="74"/>
    </w:p>
    <w:p w14:paraId="4C1F2CAA" w14:textId="77777777" w:rsidR="00C1298F" w:rsidRDefault="00C1298F" w:rsidP="00DA5675">
      <w:pPr>
        <w:pStyle w:val="Heading4"/>
      </w:pPr>
      <w:r w:rsidRPr="00C5720C">
        <w:t>Appropriateness</w:t>
      </w:r>
    </w:p>
    <w:p w14:paraId="6301597C" w14:textId="4E6769FA" w:rsidR="000645CA" w:rsidRDefault="007F4ED2" w:rsidP="00C1298F">
      <w:pPr>
        <w:pStyle w:val="BodyCopy"/>
      </w:pPr>
      <w:r>
        <w:t>Australian Rural Health Education Network (</w:t>
      </w:r>
      <w:r w:rsidR="00C1298F">
        <w:t>ARHEN</w:t>
      </w:r>
      <w:r>
        <w:t>)</w:t>
      </w:r>
      <w:r w:rsidR="00C1298F">
        <w:t xml:space="preserve"> representatives were in strong support of the RPLO program and stated it meets the needs of rural pharmacists, students and communities by advocating on a number of levels. </w:t>
      </w:r>
      <w:r w:rsidR="000047E9">
        <w:t xml:space="preserve">RPLOs ensure pharmacy students have positive placement experiences. </w:t>
      </w:r>
      <w:r w:rsidR="00C1298F">
        <w:t xml:space="preserve">They argued that RPLOs are the voice of rural pharmacy and advocate for students, rural health educators and for issues relevant to rural pharmacists. They also considered RPLOs and UDRHs pivotal in supporting and planning high-quality student placements and providing CPE, clinical updates and networking opportunities to rural pharmacists. The RPLO Program also benefits the community by involving the students in local activities and charities during their placements. </w:t>
      </w:r>
    </w:p>
    <w:p w14:paraId="45D2E12F" w14:textId="668B3FEF" w:rsidR="00D71F45" w:rsidRDefault="00D71F45" w:rsidP="00C1298F">
      <w:pPr>
        <w:pStyle w:val="BodyCopy"/>
      </w:pPr>
      <w:r>
        <w:t xml:space="preserve">The </w:t>
      </w:r>
      <w:r w:rsidR="00DE6063">
        <w:t>professional isolation</w:t>
      </w:r>
      <w:r>
        <w:t xml:space="preserve"> faced by rural health practitioners and students who choose to train in rural areas is recognised by UDRHs and addressed through other </w:t>
      </w:r>
      <w:r>
        <w:t>programs including the Mental Health Academics project.</w:t>
      </w:r>
      <w:sdt>
        <w:sdtPr>
          <w:id w:val="-1099643878"/>
          <w:citation/>
        </w:sdtPr>
        <w:sdtContent>
          <w:r w:rsidR="00054CB6">
            <w:fldChar w:fldCharType="begin"/>
          </w:r>
          <w:r w:rsidR="00054CB6">
            <w:instrText xml:space="preserve"> CITATION Pie15 \l 3081 </w:instrText>
          </w:r>
          <w:r w:rsidR="00054CB6">
            <w:fldChar w:fldCharType="separate"/>
          </w:r>
          <w:r w:rsidR="0089011F">
            <w:rPr>
              <w:noProof/>
            </w:rPr>
            <w:t xml:space="preserve"> </w:t>
          </w:r>
          <w:r w:rsidR="0089011F" w:rsidRPr="0089011F">
            <w:rPr>
              <w:noProof/>
            </w:rPr>
            <w:t>[45]</w:t>
          </w:r>
          <w:r w:rsidR="00054CB6">
            <w:fldChar w:fldCharType="end"/>
          </w:r>
        </w:sdtContent>
      </w:sdt>
      <w:r>
        <w:t xml:space="preserve"> Mental Health Academics operate under similar KPIs to RPLOs, including </w:t>
      </w:r>
      <w:r w:rsidR="00054CB6" w:rsidRPr="00054CB6">
        <w:t xml:space="preserve">providing education and training </w:t>
      </w:r>
      <w:r w:rsidR="00054CB6">
        <w:t>to rural mental health and other professionals</w:t>
      </w:r>
      <w:r w:rsidR="007F4ED2">
        <w:t>,</w:t>
      </w:r>
      <w:r w:rsidR="00054CB6">
        <w:t xml:space="preserve"> and mentoring and supervising undergraduate and postgraduate students completing rural training. </w:t>
      </w:r>
    </w:p>
    <w:p w14:paraId="46159A92" w14:textId="77777777" w:rsidR="00C1298F" w:rsidRPr="00434F1C" w:rsidRDefault="00C1298F" w:rsidP="00453658">
      <w:pPr>
        <w:pStyle w:val="Appropriatenessassessment"/>
      </w:pPr>
      <w:r w:rsidRPr="00434F1C">
        <w:t xml:space="preserve">The RPLO program </w:t>
      </w:r>
      <w:r w:rsidR="005F7A93" w:rsidRPr="00434F1C">
        <w:t>responds to</w:t>
      </w:r>
      <w:r w:rsidR="00DE6063">
        <w:t xml:space="preserve"> the support, training and advocacy needs of </w:t>
      </w:r>
      <w:r w:rsidR="00434F1C" w:rsidRPr="00434F1C">
        <w:t xml:space="preserve">rural pharmacists, students and </w:t>
      </w:r>
      <w:r w:rsidR="00DE6063">
        <w:t>the wider community. The Australian Government recognises the need for additional support for rural health professionals through the development of other UDRH-run programs including Mental Health Academics project.</w:t>
      </w:r>
    </w:p>
    <w:p w14:paraId="45D7AC5B" w14:textId="77777777" w:rsidR="00C1298F" w:rsidRPr="00C5720C" w:rsidRDefault="00C1298F" w:rsidP="00DA5675">
      <w:pPr>
        <w:pStyle w:val="Heading4"/>
      </w:pPr>
      <w:r w:rsidRPr="00C5720C">
        <w:t>Effectiveness</w:t>
      </w:r>
    </w:p>
    <w:p w14:paraId="7DFBE650" w14:textId="6F0DF3F7" w:rsidR="00586702" w:rsidRDefault="00586702" w:rsidP="00C1298F">
      <w:pPr>
        <w:pStyle w:val="BodyCopy"/>
      </w:pPr>
      <w:r>
        <w:t>As stated previously, t</w:t>
      </w:r>
      <w:r w:rsidR="00ED2B2D">
        <w:t xml:space="preserve">he </w:t>
      </w:r>
      <w:r w:rsidR="00667940">
        <w:t xml:space="preserve">aims </w:t>
      </w:r>
      <w:r w:rsidR="00ED2B2D">
        <w:t xml:space="preserve">of the RPLO program </w:t>
      </w:r>
      <w:r>
        <w:t>include:</w:t>
      </w:r>
    </w:p>
    <w:p w14:paraId="43BF814D" w14:textId="104ED333" w:rsidR="00586702" w:rsidRPr="00C5720C" w:rsidRDefault="009A0CAB" w:rsidP="009A0CAB">
      <w:pPr>
        <w:pStyle w:val="Numbers1"/>
      </w:pPr>
      <w:r>
        <w:t>P</w:t>
      </w:r>
      <w:r w:rsidR="00586702">
        <w:t>roviding</w:t>
      </w:r>
      <w:r w:rsidR="00586702" w:rsidRPr="00C5720C">
        <w:t xml:space="preserve"> support to </w:t>
      </w:r>
      <w:r w:rsidR="007F4ED2" w:rsidRPr="00C5720C">
        <w:t>practi</w:t>
      </w:r>
      <w:r w:rsidR="007F4ED2">
        <w:t>s</w:t>
      </w:r>
      <w:r w:rsidR="007F4ED2" w:rsidRPr="00C5720C">
        <w:t xml:space="preserve">ing </w:t>
      </w:r>
      <w:r w:rsidR="00586702" w:rsidRPr="00C5720C">
        <w:t>rural community pharmacies and to pharmacy students undertaking clinical</w:t>
      </w:r>
      <w:r w:rsidR="00586702">
        <w:t xml:space="preserve"> placements in rural areas</w:t>
      </w:r>
      <w:r>
        <w:t>.</w:t>
      </w:r>
    </w:p>
    <w:p w14:paraId="24D032BA" w14:textId="77777777" w:rsidR="00586702" w:rsidRPr="00C5720C" w:rsidRDefault="009A0CAB" w:rsidP="009A0CAB">
      <w:pPr>
        <w:pStyle w:val="Numbers1"/>
      </w:pPr>
      <w:r>
        <w:t>P</w:t>
      </w:r>
      <w:r w:rsidR="00586702">
        <w:t>romoting</w:t>
      </w:r>
      <w:r w:rsidR="00586702" w:rsidRPr="00C5720C">
        <w:t xml:space="preserve"> inter-professional collaboration with pharmacies, pharmacists, pharmacy s</w:t>
      </w:r>
      <w:r w:rsidR="00586702">
        <w:t>tudents, and other universities</w:t>
      </w:r>
      <w:r>
        <w:t>.</w:t>
      </w:r>
    </w:p>
    <w:p w14:paraId="6236D58C" w14:textId="77777777" w:rsidR="00586702" w:rsidRPr="00C5720C" w:rsidRDefault="009A0CAB" w:rsidP="009A0CAB">
      <w:pPr>
        <w:pStyle w:val="Numbers1"/>
      </w:pPr>
      <w:r>
        <w:t>S</w:t>
      </w:r>
      <w:r w:rsidR="00586702" w:rsidRPr="00C5720C">
        <w:t>trengthen</w:t>
      </w:r>
      <w:r w:rsidR="00586702">
        <w:t>ing</w:t>
      </w:r>
      <w:r w:rsidR="00586702" w:rsidRPr="00C5720C">
        <w:t xml:space="preserve"> mentoring and advisory arrangements for pharmacies, ph</w:t>
      </w:r>
      <w:r>
        <w:t>armacists and pharmacy students.</w:t>
      </w:r>
    </w:p>
    <w:p w14:paraId="6CAB3CBD" w14:textId="77777777" w:rsidR="00586702" w:rsidRDefault="009A0CAB" w:rsidP="009A0CAB">
      <w:pPr>
        <w:pStyle w:val="Numbers1"/>
      </w:pPr>
      <w:r>
        <w:t>F</w:t>
      </w:r>
      <w:r w:rsidR="00586702" w:rsidRPr="00C5720C">
        <w:t>acilitat</w:t>
      </w:r>
      <w:r w:rsidR="00586702">
        <w:t>ing</w:t>
      </w:r>
      <w:r w:rsidR="00586702" w:rsidRPr="00C5720C">
        <w:t xml:space="preserve"> professional development and networking opportunities for pharmacies, pharmacists and pharmacy students.</w:t>
      </w:r>
    </w:p>
    <w:p w14:paraId="0046198C" w14:textId="05552DB7" w:rsidR="009A0CAB" w:rsidRDefault="007F4ED2" w:rsidP="009A0CAB">
      <w:pPr>
        <w:pStyle w:val="BodyCopy"/>
      </w:pPr>
      <w:r>
        <w:t xml:space="preserve">The </w:t>
      </w:r>
      <w:r w:rsidR="007D1A1E">
        <w:t xml:space="preserve">RPLOs consulted estimated they spend </w:t>
      </w:r>
      <w:r w:rsidR="009A0CAB">
        <w:t>most</w:t>
      </w:r>
      <w:r w:rsidR="007D1A1E">
        <w:t xml:space="preserve"> of their funded 0.4 FTE promoting rural placements to students and developing immersive placement plans that incorporate various activities in pharmacies, health services and the community</w:t>
      </w:r>
      <w:r w:rsidR="009A0CAB">
        <w:t xml:space="preserve"> (</w:t>
      </w:r>
      <w:r w:rsidR="00667940">
        <w:t xml:space="preserve">aim </w:t>
      </w:r>
      <w:r w:rsidR="009A0CAB">
        <w:t>1)</w:t>
      </w:r>
      <w:r w:rsidR="007D1A1E">
        <w:t xml:space="preserve">. </w:t>
      </w:r>
      <w:r w:rsidR="005E7886">
        <w:t xml:space="preserve">Survey data indicated 70% of RPLOs spent the majority of their time arranging rural placements. </w:t>
      </w:r>
      <w:r w:rsidR="009A0CAB">
        <w:t xml:space="preserve">Students completing a rural placement arranged by an RPLO said the RPLO was vital in creating a positive placement experience and providing support to students while away from home. Further investigation is required to determine whether students who completed RPLO-supported rural placements are more likely to practise in a rural area upon graduation. </w:t>
      </w:r>
      <w:r w:rsidR="00B86B97">
        <w:t xml:space="preserve">Stakeholders suggested RPLOs should be supported to undertake research that builds the </w:t>
      </w:r>
      <w:r w:rsidR="00B86B97">
        <w:lastRenderedPageBreak/>
        <w:t xml:space="preserve">evidence base for effective workforce recruitment and retention initiatives. However, this is currently outside the scope of the RPLO role. </w:t>
      </w:r>
    </w:p>
    <w:p w14:paraId="1C4EBF24" w14:textId="2FC77702" w:rsidR="00C1298F" w:rsidRDefault="005E7886" w:rsidP="00C1298F">
      <w:pPr>
        <w:pStyle w:val="BodyCopy"/>
      </w:pPr>
      <w:r>
        <w:t>Survey data indicated 20% (n=2) of RPLOs spend the majority of their role facilitating CPE activities for pharmacists and students (</w:t>
      </w:r>
      <w:r w:rsidR="00667940">
        <w:t xml:space="preserve">aim </w:t>
      </w:r>
      <w:r>
        <w:t>4). Sixty-two percent (n=17) of surveyed pharmacists stated they had been invited to or attended a networking or education activity organised or facilitated by an RPLO. Rural community pharmacists who participated in consultations reported strong relationships with their local RPLO. However, it should be noted the project team only consulted with students and pharmacists in contact with the RPLO at each UDRH site, which may have skewed feedback.</w:t>
      </w:r>
    </w:p>
    <w:p w14:paraId="14079329" w14:textId="7263A514" w:rsidR="005E7886" w:rsidRDefault="005E7886" w:rsidP="00C1298F">
      <w:pPr>
        <w:pStyle w:val="BodyCopy"/>
      </w:pPr>
      <w:r>
        <w:t xml:space="preserve">With the limited hours funded under the RPLO program, RPLOs can only dedicate a small amount of time to </w:t>
      </w:r>
      <w:r w:rsidR="00667940">
        <w:t xml:space="preserve">aims </w:t>
      </w:r>
      <w:r>
        <w:t xml:space="preserve">2 and 3. However, 85% of surveyed pharmacists agreed </w:t>
      </w:r>
      <w:r w:rsidRPr="005E7886">
        <w:t xml:space="preserve">RPLOs enhance the profile of pharmacy in rural, remote and very remote locations and foster collaboration between community pharmacists, students and </w:t>
      </w:r>
      <w:r>
        <w:t>UDRHs</w:t>
      </w:r>
      <w:r w:rsidRPr="005E7886">
        <w:t>.</w:t>
      </w:r>
    </w:p>
    <w:p w14:paraId="01A54DE9" w14:textId="73C0DB1C" w:rsidR="00E602B9" w:rsidRDefault="00E602B9" w:rsidP="00C1298F">
      <w:pPr>
        <w:pStyle w:val="BodyCopy"/>
      </w:pPr>
      <w:r>
        <w:t>Five of the six RPLOs consulted had expanded roles funded by their UDRH to carry out activities associated with rural pharmacy not covered under the RPLO KPIs. RPLOs consulted identified short (</w:t>
      </w:r>
      <w:r w:rsidR="00097FC2">
        <w:t>six-</w:t>
      </w:r>
      <w:r>
        <w:t xml:space="preserve">month) contracts and limited funded hours (0.4 FTE) restricted their capacity to plan future activities and dedicate more time to achieving </w:t>
      </w:r>
      <w:r w:rsidR="00667940">
        <w:t xml:space="preserve">aims </w:t>
      </w:r>
      <w:r>
        <w:t xml:space="preserve">2 and 3. </w:t>
      </w:r>
    </w:p>
    <w:p w14:paraId="3DAA9818" w14:textId="2703D012" w:rsidR="005E7886" w:rsidRDefault="005E7886" w:rsidP="0033487B">
      <w:pPr>
        <w:pStyle w:val="Effectiveness"/>
      </w:pPr>
      <w:r>
        <w:t xml:space="preserve">The RPLO program is highly regarded by peak body stakeholders, rural pharmacists and pharmacy students for the support RPLOs provide to rural pharmacy. </w:t>
      </w:r>
      <w:r w:rsidR="00E602B9">
        <w:t xml:space="preserve">RPLOs achieve each of the </w:t>
      </w:r>
      <w:r w:rsidR="00667940">
        <w:t xml:space="preserve">aims </w:t>
      </w:r>
      <w:r w:rsidR="00E602B9">
        <w:t>of their role with particular emphasis on supporting rural placements.</w:t>
      </w:r>
    </w:p>
    <w:p w14:paraId="5499B041" w14:textId="77777777" w:rsidR="00E602B9" w:rsidRDefault="00E602B9" w:rsidP="0033487B">
      <w:pPr>
        <w:pStyle w:val="Effectiveness"/>
      </w:pPr>
      <w:bookmarkStart w:id="75" w:name="_Ref484503328"/>
      <w:bookmarkStart w:id="76" w:name="_Ref484503323"/>
      <w:bookmarkStart w:id="77" w:name="_Hlk486932885"/>
      <w:r>
        <w:t>The RPLO program is restricted by the current scope of the role (and FTE) and the administration arrangements of the program including inability to secure long term contracts</w:t>
      </w:r>
      <w:r w:rsidR="00B86B97">
        <w:t xml:space="preserve"> and the lack of research capacity</w:t>
      </w:r>
      <w:r>
        <w:t>.</w:t>
      </w:r>
      <w:bookmarkEnd w:id="75"/>
      <w:r>
        <w:t xml:space="preserve"> </w:t>
      </w:r>
    </w:p>
    <w:bookmarkEnd w:id="76"/>
    <w:bookmarkEnd w:id="77"/>
    <w:p w14:paraId="270B8342" w14:textId="77777777" w:rsidR="00C1298F" w:rsidRDefault="00C1298F" w:rsidP="00DA5675">
      <w:pPr>
        <w:pStyle w:val="Heading4"/>
      </w:pPr>
      <w:r w:rsidRPr="00605B2B">
        <w:t>Efficiency</w:t>
      </w:r>
    </w:p>
    <w:p w14:paraId="7FB7460D" w14:textId="325C71E8" w:rsidR="00DA5675" w:rsidRPr="00AE77B3" w:rsidRDefault="00DA5675" w:rsidP="00DA5675">
      <w:pPr>
        <w:pStyle w:val="BodyCopy"/>
      </w:pPr>
      <w:r w:rsidRPr="00AE77B3">
        <w:t>Program expenditure data was only available for 2013</w:t>
      </w:r>
      <w:r w:rsidR="00097FC2">
        <w:t>–</w:t>
      </w:r>
      <w:r w:rsidRPr="00AE77B3">
        <w:t>14 and 2014</w:t>
      </w:r>
      <w:r w:rsidR="00097FC2">
        <w:t>–</w:t>
      </w:r>
      <w:r w:rsidRPr="00AE77B3">
        <w:t>15 financial years. Program expenditure for 2013</w:t>
      </w:r>
      <w:r w:rsidR="00097FC2">
        <w:t>–</w:t>
      </w:r>
      <w:r w:rsidRPr="00AE77B3">
        <w:t xml:space="preserve">14 was </w:t>
      </w:r>
      <w:r w:rsidRPr="00AE77B3">
        <w:rPr>
          <w:rFonts w:ascii="Times New Roman" w:hAnsi="Times New Roman"/>
        </w:rPr>
        <w:t>$</w:t>
      </w:r>
      <w:r w:rsidRPr="00AE77B3">
        <w:t xml:space="preserve">882,696 (budget </w:t>
      </w:r>
      <w:r w:rsidRPr="00AE77B3">
        <w:rPr>
          <w:rFonts w:ascii="Times New Roman" w:hAnsi="Times New Roman"/>
        </w:rPr>
        <w:t>$</w:t>
      </w:r>
      <w:r w:rsidRPr="00AE77B3">
        <w:t>793,560) and decreased in 2014</w:t>
      </w:r>
      <w:r w:rsidR="00097FC2">
        <w:t>–</w:t>
      </w:r>
      <w:r w:rsidRPr="00AE77B3">
        <w:t xml:space="preserve">15 to </w:t>
      </w:r>
      <w:r w:rsidRPr="00AE77B3">
        <w:rPr>
          <w:rFonts w:ascii="Times New Roman" w:hAnsi="Times New Roman"/>
        </w:rPr>
        <w:t>$</w:t>
      </w:r>
      <w:r w:rsidRPr="00AE77B3">
        <w:t xml:space="preserve">775,442 (budget </w:t>
      </w:r>
      <w:r w:rsidRPr="00AE77B3">
        <w:rPr>
          <w:rFonts w:ascii="Times New Roman" w:hAnsi="Times New Roman"/>
        </w:rPr>
        <w:t>$</w:t>
      </w:r>
      <w:r w:rsidRPr="00AE77B3">
        <w:t xml:space="preserve">840,988). Based on expenditure data, the average annual program cost was </w:t>
      </w:r>
      <w:r w:rsidRPr="00AE77B3">
        <w:rPr>
          <w:rFonts w:ascii="Times New Roman" w:hAnsi="Times New Roman"/>
        </w:rPr>
        <w:t>$</w:t>
      </w:r>
      <w:r w:rsidRPr="00AE77B3">
        <w:t>836,778</w:t>
      </w:r>
      <w:r w:rsidR="00097FC2">
        <w:t>,</w:t>
      </w:r>
      <w:r w:rsidRPr="00AE77B3">
        <w:t xml:space="preserve"> which includes administration overhead allocation of </w:t>
      </w:r>
      <w:r w:rsidRPr="00AE77B3">
        <w:rPr>
          <w:rFonts w:ascii="Times New Roman" w:hAnsi="Times New Roman"/>
        </w:rPr>
        <w:t>$</w:t>
      </w:r>
      <w:r w:rsidRPr="00AE77B3">
        <w:t xml:space="preserve">770 (comprising 1% of total program cost). </w:t>
      </w:r>
    </w:p>
    <w:p w14:paraId="35076113" w14:textId="77777777" w:rsidR="00DA5675" w:rsidRDefault="00DA5675" w:rsidP="00DA5675">
      <w:pPr>
        <w:pStyle w:val="BodyCopy"/>
      </w:pPr>
      <w:r w:rsidRPr="00AE77B3">
        <w:t xml:space="preserve">Assuming ten RPLO contracts were held during this time based on 2012 numbers, the unit cost of employing one RPLO was estimated at </w:t>
      </w:r>
      <w:r w:rsidRPr="00AE77B3">
        <w:rPr>
          <w:rFonts w:ascii="Times New Roman" w:hAnsi="Times New Roman"/>
        </w:rPr>
        <w:t>$</w:t>
      </w:r>
      <w:r w:rsidRPr="00AE77B3">
        <w:t xml:space="preserve">83,678 per annum (including administration overhead). </w:t>
      </w:r>
    </w:p>
    <w:p w14:paraId="7723F595" w14:textId="5CB77520" w:rsidR="007D4780" w:rsidRPr="005F7628" w:rsidRDefault="007D4780" w:rsidP="0033487B">
      <w:pPr>
        <w:pStyle w:val="Efficiency"/>
      </w:pPr>
      <w:r w:rsidRPr="005F7628">
        <w:t xml:space="preserve">A single unit cost per </w:t>
      </w:r>
      <w:r w:rsidR="005F7628" w:rsidRPr="005F7628">
        <w:t>RPLO</w:t>
      </w:r>
      <w:r w:rsidRPr="005F7628">
        <w:t xml:space="preserve"> was estimated at </w:t>
      </w:r>
      <w:r w:rsidRPr="005F7628">
        <w:rPr>
          <w:rFonts w:ascii="Times New Roman" w:hAnsi="Times New Roman"/>
        </w:rPr>
        <w:t>$</w:t>
      </w:r>
      <w:r w:rsidR="005F7628" w:rsidRPr="005F7628">
        <w:t>83,678 comprising 1</w:t>
      </w:r>
      <w:r w:rsidRPr="005F7628">
        <w:t xml:space="preserve">% administration overhead costs. This was considered </w:t>
      </w:r>
      <w:r w:rsidR="005F7628" w:rsidRPr="005F7628">
        <w:t>within</w:t>
      </w:r>
      <w:r w:rsidRPr="005F7628">
        <w:t xml:space="preserve"> the acceptable range for administration overheads. </w:t>
      </w:r>
    </w:p>
    <w:p w14:paraId="3991539C" w14:textId="77777777" w:rsidR="00DA5675" w:rsidRPr="00DA5675" w:rsidRDefault="00DA5675" w:rsidP="00DA5675">
      <w:pPr>
        <w:pStyle w:val="Heading4"/>
      </w:pPr>
      <w:r>
        <w:t>Options for improving program operation</w:t>
      </w:r>
    </w:p>
    <w:p w14:paraId="17415287" w14:textId="18C78584" w:rsidR="002F7541" w:rsidRPr="00605B2B" w:rsidRDefault="00605B2B" w:rsidP="00C1298F">
      <w:pPr>
        <w:pStyle w:val="BodyCopy"/>
      </w:pPr>
      <w:r>
        <w:t xml:space="preserve">Currently, only </w:t>
      </w:r>
      <w:r w:rsidR="009778DD">
        <w:t xml:space="preserve">eight of the 12 UDRH sites hold contracts with RPLOs. RPLOs </w:t>
      </w:r>
      <w:r w:rsidR="00B86B97">
        <w:t xml:space="preserve">perceived their roles as unstable due to the renewal of contracts on a six-monthly basis. Further, some RPLOs noted 0.4 FTE is insufficient time to achieve the </w:t>
      </w:r>
      <w:r w:rsidR="00667940">
        <w:t xml:space="preserve">aims </w:t>
      </w:r>
      <w:r w:rsidR="00B86B97">
        <w:t xml:space="preserve">of the program. As a result, RPLOs often completed this work in their own time. </w:t>
      </w:r>
      <w:r w:rsidR="00192E5C">
        <w:t>Conducting research about rural pharmacy workforce issues and initiatives</w:t>
      </w:r>
      <w:r w:rsidR="0033487B">
        <w:t xml:space="preserve"> currently</w:t>
      </w:r>
      <w:r w:rsidR="00192E5C">
        <w:t xml:space="preserve"> is outside of the scope of the RPLO program. </w:t>
      </w:r>
      <w:r w:rsidR="0033487B">
        <w:t xml:space="preserve">Any research undertaken by RPLOs </w:t>
      </w:r>
      <w:r w:rsidR="00FD1C0D">
        <w:t xml:space="preserve">is </w:t>
      </w:r>
      <w:r w:rsidR="0033487B">
        <w:t xml:space="preserve">conducted outside of their funded FTE. </w:t>
      </w:r>
    </w:p>
    <w:p w14:paraId="4007CA21" w14:textId="24A2E3A5" w:rsidR="002F7541" w:rsidRDefault="00192E5C" w:rsidP="00C1298F">
      <w:pPr>
        <w:pStyle w:val="BodyCopy"/>
      </w:pPr>
      <w:r w:rsidRPr="00192E5C">
        <w:t xml:space="preserve">ARHEN </w:t>
      </w:r>
      <w:r>
        <w:t>provided recommendations for the ongoing implementation and scope of the RPLO program. ARHEN suggested removing the RPLO program from the 6CPA and integrating the program</w:t>
      </w:r>
      <w:r w:rsidRPr="00192E5C">
        <w:t xml:space="preserve"> into the Rural Health Multidisciplinary Training Program (RHMTP) with funding distributed and managed though UDRHs. </w:t>
      </w:r>
      <w:r>
        <w:t>ARHEN anticipate</w:t>
      </w:r>
      <w:r w:rsidR="00097FC2">
        <w:t>s</w:t>
      </w:r>
      <w:r>
        <w:t xml:space="preserve"> i</w:t>
      </w:r>
      <w:r w:rsidRPr="00192E5C">
        <w:t xml:space="preserve">ncorporating the RPLO program into </w:t>
      </w:r>
      <w:r>
        <w:t>the RHMTP</w:t>
      </w:r>
      <w:r w:rsidRPr="00192E5C">
        <w:t xml:space="preserve"> funding stream would enable UDRHs to strengthen and develop the </w:t>
      </w:r>
      <w:r>
        <w:t>RPLO p</w:t>
      </w:r>
      <w:r w:rsidRPr="00192E5C">
        <w:t xml:space="preserve">rogram, improve its impact and align it more effectively with the broader objectives of the </w:t>
      </w:r>
      <w:r>
        <w:t xml:space="preserve">RHMTP. This would include a focus on developing the evidence base for the efficacy of training and other support programs for rural pharmacy workforce </w:t>
      </w:r>
      <w:r>
        <w:lastRenderedPageBreak/>
        <w:t>outcomes. Further, i</w:t>
      </w:r>
      <w:r w:rsidRPr="00192E5C">
        <w:t xml:space="preserve">t would enable a focus on working with pharmacy schools to re-design student programs to include extended rural placements </w:t>
      </w:r>
      <w:r w:rsidR="006D217C">
        <w:t>that provide</w:t>
      </w:r>
      <w:r w:rsidR="006D217C" w:rsidRPr="00192E5C">
        <w:t xml:space="preserve"> </w:t>
      </w:r>
      <w:r w:rsidRPr="00192E5C">
        <w:t>a variety of pharmacy and inter-professional learning activities.</w:t>
      </w:r>
      <w:r>
        <w:t xml:space="preserve"> </w:t>
      </w:r>
    </w:p>
    <w:p w14:paraId="05E2199A" w14:textId="1803F2CE" w:rsidR="00192E5C" w:rsidRDefault="00516D5E" w:rsidP="00192E5C">
      <w:pPr>
        <w:pStyle w:val="BodyCopy"/>
      </w:pPr>
      <w:r>
        <w:t>RPLOs and</w:t>
      </w:r>
      <w:r w:rsidR="00192E5C">
        <w:t xml:space="preserve"> UDRH Directors consulted </w:t>
      </w:r>
      <w:r>
        <w:t>agreed with this approach. The Guild also agreed the services provided under the RPLO program were now more clearly the responsibility of the UDRH program.</w:t>
      </w:r>
      <w:r w:rsidR="00483FB7">
        <w:t xml:space="preserve"> </w:t>
      </w:r>
    </w:p>
    <w:p w14:paraId="4DFCD29B" w14:textId="6A8695B6" w:rsidR="00483FB7" w:rsidRDefault="00483FB7" w:rsidP="0033487B">
      <w:pPr>
        <w:pStyle w:val="BodyCopy"/>
      </w:pPr>
      <w:r>
        <w:t xml:space="preserve">Removing the RPLO program from the 6CPA and redirecting funding and administration responsibility to UDRHs under the RHMTP may resolve administrative problems, promote alignment with RHMTP objectives and improve the overall effectiveness of the program. However, </w:t>
      </w:r>
      <w:r w:rsidR="009A06D9">
        <w:t xml:space="preserve">issues regarding program scope and requirements arising from a change in governance must be considered. </w:t>
      </w:r>
    </w:p>
    <w:p w14:paraId="77285DD8" w14:textId="2B1D907A" w:rsidR="009A06D9" w:rsidRPr="009A06D9" w:rsidRDefault="009A06D9" w:rsidP="0033487B">
      <w:pPr>
        <w:pStyle w:val="BodyCopy"/>
      </w:pPr>
      <w:r>
        <w:t xml:space="preserve">Regardless of whether the RPLO program remains part of the 6CPA or is repositioned within the UDRH program, the length of RPLO contracts must be reviewed. If remaining within the 6CPA, </w:t>
      </w:r>
      <w:r w:rsidR="006C4396">
        <w:t>consideration should be given to extending the length of RPLO contracts beyond six months to increase job security and stability for employed RPLOs</w:t>
      </w:r>
      <w:r>
        <w:t>.</w:t>
      </w:r>
    </w:p>
    <w:p w14:paraId="62A529FE" w14:textId="77777777" w:rsidR="000B4EDE" w:rsidRPr="00884FE6" w:rsidRDefault="000B4EDE" w:rsidP="00DA5675">
      <w:pPr>
        <w:pStyle w:val="Heading2"/>
      </w:pPr>
      <w:bookmarkStart w:id="78" w:name="_Toc523318822"/>
      <w:r w:rsidRPr="00884FE6">
        <w:t>Administrative Support to Pharmacy Schools</w:t>
      </w:r>
      <w:bookmarkEnd w:id="78"/>
    </w:p>
    <w:p w14:paraId="7548DF4B" w14:textId="5BE98657" w:rsidR="000B4EDE" w:rsidRPr="00C5720C" w:rsidRDefault="000B4EDE" w:rsidP="00DA5675">
      <w:pPr>
        <w:pStyle w:val="Heading3"/>
      </w:pPr>
      <w:bookmarkStart w:id="79" w:name="_Toc523318823"/>
      <w:r w:rsidRPr="00C5720C">
        <w:t>Context</w:t>
      </w:r>
      <w:bookmarkEnd w:id="79"/>
    </w:p>
    <w:p w14:paraId="07AB4147" w14:textId="77777777" w:rsidR="00C650B9" w:rsidRDefault="00C650B9" w:rsidP="00DA5675">
      <w:pPr>
        <w:pStyle w:val="Heading4"/>
      </w:pPr>
      <w:r>
        <w:t>Target population</w:t>
      </w:r>
    </w:p>
    <w:p w14:paraId="4FF3EC2D" w14:textId="6BA39DE6" w:rsidR="00C650B9" w:rsidRDefault="00C650B9" w:rsidP="00C650B9">
      <w:pPr>
        <w:pStyle w:val="BodyCopy"/>
      </w:pPr>
      <w:r>
        <w:t xml:space="preserve">Administrative Support to Pharmacy Schools is intended to support Australian Universities offering pharmacy courses that lead to a registrable qualification as a pharmacist. </w:t>
      </w:r>
      <w:sdt>
        <w:sdtPr>
          <w:id w:val="-58408828"/>
          <w:citation/>
        </w:sdtPr>
        <w:sdtContent>
          <w:r>
            <w:fldChar w:fldCharType="begin"/>
          </w:r>
          <w:r>
            <w:instrText xml:space="preserve"> CITATION The156 \l 3081 </w:instrText>
          </w:r>
          <w:r>
            <w:fldChar w:fldCharType="separate"/>
          </w:r>
          <w:r w:rsidR="0089011F" w:rsidRPr="0089011F">
            <w:rPr>
              <w:noProof/>
            </w:rPr>
            <w:t>[46]</w:t>
          </w:r>
          <w:r>
            <w:fldChar w:fldCharType="end"/>
          </w:r>
        </w:sdtContent>
      </w:sdt>
    </w:p>
    <w:p w14:paraId="5BB85AB4" w14:textId="588D9E96" w:rsidR="000B4EDE" w:rsidRPr="00C5720C" w:rsidRDefault="000B4EDE" w:rsidP="00DA5675">
      <w:pPr>
        <w:pStyle w:val="Heading4"/>
      </w:pPr>
      <w:r w:rsidRPr="00C5720C">
        <w:t xml:space="preserve">Program </w:t>
      </w:r>
      <w:r w:rsidR="00667940">
        <w:t>aim</w:t>
      </w:r>
    </w:p>
    <w:p w14:paraId="4A7C9BDC" w14:textId="4C09D8D4" w:rsidR="000B4EDE" w:rsidRDefault="000B4EDE" w:rsidP="000B4EDE">
      <w:pPr>
        <w:pStyle w:val="BodyCopy"/>
      </w:pPr>
      <w:r w:rsidRPr="00C5720C">
        <w:t xml:space="preserve">The Administrative Support to Pharmacy Schools aims to provide financial support to pharmacy schools to </w:t>
      </w:r>
      <w:r w:rsidR="00E50284">
        <w:t>organise</w:t>
      </w:r>
      <w:r w:rsidR="00E50284" w:rsidRPr="00C5720C">
        <w:t xml:space="preserve"> </w:t>
      </w:r>
      <w:r w:rsidRPr="00C5720C">
        <w:t xml:space="preserve">placements for students in rural and remote areas </w:t>
      </w:r>
      <w:r w:rsidRPr="00C5720C">
        <w:t xml:space="preserve">and to promote the </w:t>
      </w:r>
      <w:r w:rsidR="00B23C65">
        <w:t xml:space="preserve">Rural Pharmacy </w:t>
      </w:r>
      <w:r w:rsidRPr="00C5720C">
        <w:t>Student Placement Allowance, the Rural Pharmacy Scholarship Scheme and the Aboriginal and Torres Strait Islander Pharmacy Scholarship Scheme.</w:t>
      </w:r>
    </w:p>
    <w:p w14:paraId="38E23308" w14:textId="22009CA1" w:rsidR="004979A0" w:rsidRDefault="004979A0" w:rsidP="000B4EDE">
      <w:pPr>
        <w:pStyle w:val="BodyCopy"/>
      </w:pPr>
      <w:r>
        <w:t xml:space="preserve">Placement coordinators employed using funding from the Administration Support to Pharmacy Schools collaborate with RPLOs to deliver rural placements. However, they each have distinct yet complimentary roles. Placement coordinators are responsible </w:t>
      </w:r>
      <w:r w:rsidR="00E85DE0">
        <w:t>for arranging the logistics of</w:t>
      </w:r>
      <w:r>
        <w:t xml:space="preserve"> rural placement</w:t>
      </w:r>
      <w:r w:rsidR="00E85DE0">
        <w:t>s</w:t>
      </w:r>
      <w:r>
        <w:t xml:space="preserve"> including identifying and notifying preceptor pharmacies, arranging accommodation for student</w:t>
      </w:r>
      <w:r w:rsidR="00E85DE0">
        <w:t>s</w:t>
      </w:r>
      <w:r>
        <w:t xml:space="preserve">, undertaking assessments and </w:t>
      </w:r>
      <w:r w:rsidR="00E85DE0">
        <w:t xml:space="preserve">applying for the Rural Pharmacy Student Placement Allowance on behalf of students. </w:t>
      </w:r>
    </w:p>
    <w:p w14:paraId="0C857DF2" w14:textId="18B3A5DD" w:rsidR="00E85DE0" w:rsidRDefault="00E85DE0" w:rsidP="000B4EDE">
      <w:pPr>
        <w:pStyle w:val="BodyCopy"/>
      </w:pPr>
      <w:r>
        <w:t xml:space="preserve">RPLOs create immersive placement programs and help to familiarise students with the community </w:t>
      </w:r>
      <w:r w:rsidR="006C4396">
        <w:t xml:space="preserve">in which they are placed. RPLOs do not typically administer placements or arrange accommodation or travel for students.  </w:t>
      </w:r>
    </w:p>
    <w:p w14:paraId="2974130D" w14:textId="77777777" w:rsidR="000B4EDE" w:rsidRPr="00C5720C" w:rsidRDefault="000B4EDE" w:rsidP="00DA5675">
      <w:pPr>
        <w:pStyle w:val="Heading4"/>
      </w:pPr>
      <w:r w:rsidRPr="00C5720C">
        <w:t>Program delivery method</w:t>
      </w:r>
    </w:p>
    <w:p w14:paraId="650BA22D" w14:textId="273A8483" w:rsidR="001B16E8" w:rsidRDefault="001B16E8" w:rsidP="001B16E8">
      <w:pPr>
        <w:pStyle w:val="BodyCopy"/>
      </w:pPr>
      <w:r>
        <w:t>Program data from 2014</w:t>
      </w:r>
      <w:r w:rsidR="007B1FEC">
        <w:t>–</w:t>
      </w:r>
      <w:r>
        <w:t>2016 indicates administrative support funding was used to implement activities including (but not limited to):</w:t>
      </w:r>
    </w:p>
    <w:p w14:paraId="0A598AFE" w14:textId="77777777" w:rsidR="001B16E8" w:rsidRDefault="001B16E8" w:rsidP="001B16E8">
      <w:pPr>
        <w:pStyle w:val="Bullets1"/>
      </w:pPr>
      <w:r>
        <w:t>employment of clinical placement coordinators and liaison officers</w:t>
      </w:r>
    </w:p>
    <w:p w14:paraId="2835E24E" w14:textId="77777777" w:rsidR="001B16E8" w:rsidRDefault="001B16E8" w:rsidP="001B16E8">
      <w:pPr>
        <w:pStyle w:val="Bullets1"/>
      </w:pPr>
      <w:r>
        <w:t>sourcing and coordinating student placements and travel arrangements</w:t>
      </w:r>
    </w:p>
    <w:p w14:paraId="36378E5F" w14:textId="0AFA53A2" w:rsidR="001B16E8" w:rsidRDefault="001B16E8" w:rsidP="001B16E8">
      <w:pPr>
        <w:pStyle w:val="Bullets1"/>
      </w:pPr>
      <w:r>
        <w:t xml:space="preserve">maintenance of </w:t>
      </w:r>
      <w:r w:rsidR="006D217C">
        <w:t>university</w:t>
      </w:r>
      <w:r>
        <w:t>-wide scholarship database</w:t>
      </w:r>
      <w:r w:rsidR="006D217C">
        <w:t>s</w:t>
      </w:r>
      <w:r>
        <w:t>, student intranet and website, and</w:t>
      </w:r>
    </w:p>
    <w:p w14:paraId="0C5DA9A8" w14:textId="158B5BBC" w:rsidR="001B16E8" w:rsidRDefault="001B16E8" w:rsidP="001B16E8">
      <w:pPr>
        <w:pStyle w:val="Bullets1"/>
      </w:pPr>
      <w:r>
        <w:t xml:space="preserve">development and conduct of information sessions, videos and resources to promote pharmacy programs. </w:t>
      </w:r>
      <w:sdt>
        <w:sdtPr>
          <w:id w:val="-2071176477"/>
          <w:citation/>
        </w:sdtPr>
        <w:sdtContent>
          <w:r>
            <w:fldChar w:fldCharType="begin"/>
          </w:r>
          <w:r>
            <w:instrText xml:space="preserve"> CITATION The167 \l 3081 </w:instrText>
          </w:r>
          <w:r>
            <w:fldChar w:fldCharType="separate"/>
          </w:r>
          <w:r w:rsidR="0089011F" w:rsidRPr="0089011F">
            <w:rPr>
              <w:noProof/>
            </w:rPr>
            <w:t>[28]</w:t>
          </w:r>
          <w:r>
            <w:fldChar w:fldCharType="end"/>
          </w:r>
        </w:sdtContent>
      </w:sdt>
    </w:p>
    <w:p w14:paraId="00424F07" w14:textId="77777777" w:rsidR="000B4EDE" w:rsidRDefault="000B4EDE" w:rsidP="00DA5675">
      <w:pPr>
        <w:pStyle w:val="Heading4"/>
      </w:pPr>
      <w:r w:rsidRPr="00C5720C">
        <w:t>Program volumes</w:t>
      </w:r>
    </w:p>
    <w:p w14:paraId="0ADE6D7A" w14:textId="239B4699" w:rsidR="001B16E8" w:rsidRDefault="001B16E8" w:rsidP="001B16E8">
      <w:pPr>
        <w:pStyle w:val="BodyCopy"/>
      </w:pPr>
      <w:r>
        <w:t xml:space="preserve">During </w:t>
      </w:r>
      <w:r w:rsidR="002C109C">
        <w:t>2013</w:t>
      </w:r>
      <w:r w:rsidR="007B1FEC">
        <w:t>–</w:t>
      </w:r>
      <w:r w:rsidR="002C109C">
        <w:t>14 and 2014</w:t>
      </w:r>
      <w:r w:rsidR="007B1FEC">
        <w:t>–</w:t>
      </w:r>
      <w:r w:rsidR="002C109C">
        <w:t>15 financial years</w:t>
      </w:r>
      <w:r>
        <w:t>, financial support was provided to</w:t>
      </w:r>
      <w:r w:rsidR="007B1FEC">
        <w:t xml:space="preserve"> </w:t>
      </w:r>
      <w:r w:rsidR="00B62EA4">
        <w:t>16 Australian universities including</w:t>
      </w:r>
      <w:r>
        <w:t xml:space="preserve"> the following:</w:t>
      </w:r>
    </w:p>
    <w:p w14:paraId="121AA210" w14:textId="77777777" w:rsidR="000B4EDE" w:rsidRDefault="002C109C" w:rsidP="00790A71">
      <w:pPr>
        <w:pStyle w:val="Bullets1"/>
      </w:pPr>
      <w:r>
        <w:t>University of Tasmania</w:t>
      </w:r>
    </w:p>
    <w:p w14:paraId="22C7FF45" w14:textId="77777777" w:rsidR="002C109C" w:rsidRDefault="002C109C" w:rsidP="00790A71">
      <w:pPr>
        <w:pStyle w:val="Bullets1"/>
      </w:pPr>
      <w:r>
        <w:t>University of Sydney</w:t>
      </w:r>
    </w:p>
    <w:p w14:paraId="6D98BEE3" w14:textId="77777777" w:rsidR="002C109C" w:rsidRDefault="002C109C" w:rsidP="00790A71">
      <w:pPr>
        <w:pStyle w:val="Bullets1"/>
      </w:pPr>
      <w:r>
        <w:t>University of Queensland</w:t>
      </w:r>
    </w:p>
    <w:p w14:paraId="17DFF13B" w14:textId="77777777" w:rsidR="002C109C" w:rsidRDefault="002C109C" w:rsidP="00790A71">
      <w:pPr>
        <w:pStyle w:val="Bullets1"/>
      </w:pPr>
      <w:r>
        <w:t>Monash University</w:t>
      </w:r>
    </w:p>
    <w:p w14:paraId="05362FBE" w14:textId="77777777" w:rsidR="002C109C" w:rsidRDefault="002C109C" w:rsidP="00790A71">
      <w:pPr>
        <w:pStyle w:val="Bullets1"/>
      </w:pPr>
      <w:r>
        <w:lastRenderedPageBreak/>
        <w:t>Latrobe University</w:t>
      </w:r>
    </w:p>
    <w:p w14:paraId="0AD22E32" w14:textId="77777777" w:rsidR="002C109C" w:rsidRDefault="002C109C" w:rsidP="00790A71">
      <w:pPr>
        <w:pStyle w:val="Bullets1"/>
      </w:pPr>
      <w:r>
        <w:t>Charles Sturt University</w:t>
      </w:r>
    </w:p>
    <w:p w14:paraId="3C42E10C" w14:textId="77777777" w:rsidR="002C109C" w:rsidRDefault="002C109C" w:rsidP="00790A71">
      <w:pPr>
        <w:pStyle w:val="Bullets1"/>
      </w:pPr>
      <w:r>
        <w:t>University of South Australia</w:t>
      </w:r>
    </w:p>
    <w:p w14:paraId="6CC05BA1" w14:textId="77777777" w:rsidR="002C109C" w:rsidRDefault="002C109C" w:rsidP="00790A71">
      <w:pPr>
        <w:pStyle w:val="Bullets1"/>
      </w:pPr>
      <w:r>
        <w:t>Curtin University</w:t>
      </w:r>
    </w:p>
    <w:p w14:paraId="2A881A43" w14:textId="77777777" w:rsidR="002C109C" w:rsidRDefault="002C109C" w:rsidP="00790A71">
      <w:pPr>
        <w:pStyle w:val="Bullets1"/>
      </w:pPr>
      <w:r>
        <w:t>James Cook University</w:t>
      </w:r>
    </w:p>
    <w:p w14:paraId="42645009" w14:textId="77777777" w:rsidR="002C109C" w:rsidRDefault="002C109C" w:rsidP="00790A71">
      <w:pPr>
        <w:pStyle w:val="Bullets1"/>
      </w:pPr>
      <w:r>
        <w:t>University of Newcastle</w:t>
      </w:r>
    </w:p>
    <w:p w14:paraId="1D5F3EFD" w14:textId="77777777" w:rsidR="002C109C" w:rsidRDefault="002C109C" w:rsidP="00790A71">
      <w:pPr>
        <w:pStyle w:val="Bullets1"/>
      </w:pPr>
      <w:r>
        <w:t>University of Canberra</w:t>
      </w:r>
    </w:p>
    <w:p w14:paraId="6A0041F4" w14:textId="77777777" w:rsidR="002C109C" w:rsidRDefault="002C109C" w:rsidP="00790A71">
      <w:pPr>
        <w:pStyle w:val="Bullets1"/>
      </w:pPr>
      <w:r>
        <w:t>Griffith University</w:t>
      </w:r>
    </w:p>
    <w:p w14:paraId="26EF29E0" w14:textId="77777777" w:rsidR="002C109C" w:rsidRDefault="002C109C" w:rsidP="00790A71">
      <w:pPr>
        <w:pStyle w:val="Bullets1"/>
      </w:pPr>
      <w:r>
        <w:t>Charles Darwin University</w:t>
      </w:r>
    </w:p>
    <w:p w14:paraId="40262FFF" w14:textId="77777777" w:rsidR="002C109C" w:rsidRDefault="002C109C" w:rsidP="00790A71">
      <w:pPr>
        <w:pStyle w:val="Bullets1"/>
      </w:pPr>
      <w:r>
        <w:t>Queensland University of Technology</w:t>
      </w:r>
    </w:p>
    <w:p w14:paraId="140C1744" w14:textId="77777777" w:rsidR="002C109C" w:rsidRDefault="002C109C" w:rsidP="00790A71">
      <w:pPr>
        <w:pStyle w:val="Bullets1"/>
      </w:pPr>
      <w:r>
        <w:t>University of New England, and</w:t>
      </w:r>
    </w:p>
    <w:p w14:paraId="2EE54613" w14:textId="77777777" w:rsidR="002C109C" w:rsidRPr="00C5720C" w:rsidRDefault="002C109C" w:rsidP="00790A71">
      <w:pPr>
        <w:pStyle w:val="Bullets1"/>
      </w:pPr>
      <w:r>
        <w:t>University of Technology, Sydney.</w:t>
      </w:r>
    </w:p>
    <w:p w14:paraId="2CBE0D7C" w14:textId="77777777" w:rsidR="000B4EDE" w:rsidRPr="00C5720C" w:rsidRDefault="000B4EDE" w:rsidP="00DA5675">
      <w:pPr>
        <w:pStyle w:val="Heading3"/>
      </w:pPr>
      <w:bookmarkStart w:id="80" w:name="_Toc523318824"/>
      <w:r w:rsidRPr="00C5720C">
        <w:t>Evaluation findings</w:t>
      </w:r>
      <w:bookmarkEnd w:id="80"/>
    </w:p>
    <w:p w14:paraId="12182BEF" w14:textId="77777777" w:rsidR="00BD5FA2" w:rsidRPr="00C5720C" w:rsidRDefault="00BD5FA2" w:rsidP="00DA5675">
      <w:pPr>
        <w:pStyle w:val="Heading4"/>
      </w:pPr>
      <w:r w:rsidRPr="00C5720C">
        <w:t>Appropriateness</w:t>
      </w:r>
    </w:p>
    <w:p w14:paraId="445A3A27" w14:textId="51F80D72" w:rsidR="00884FE6" w:rsidRDefault="00BA598B" w:rsidP="000B4EDE">
      <w:pPr>
        <w:pStyle w:val="BodyCopy"/>
      </w:pPr>
      <w:r>
        <w:t xml:space="preserve">The literature scan did not identify any similar programs or evidence supporting similar programs. However, the </w:t>
      </w:r>
      <w:r w:rsidR="008F5641">
        <w:t>main intent of supporting students to undertake rural placements is supported by literature</w:t>
      </w:r>
      <w:r w:rsidR="007B1FEC">
        <w:t xml:space="preserve"> – </w:t>
      </w:r>
      <w:r w:rsidR="008F5641">
        <w:t xml:space="preserve">see section </w:t>
      </w:r>
      <w:r w:rsidR="008F5641">
        <w:fldChar w:fldCharType="begin"/>
      </w:r>
      <w:r w:rsidR="008F5641">
        <w:instrText xml:space="preserve"> REF _Ref487782339 \r \h </w:instrText>
      </w:r>
      <w:r w:rsidR="008F5641">
        <w:fldChar w:fldCharType="separate"/>
      </w:r>
      <w:r w:rsidR="00910E65">
        <w:t>2.4.2</w:t>
      </w:r>
      <w:r w:rsidR="008F5641">
        <w:fldChar w:fldCharType="end"/>
      </w:r>
      <w:r w:rsidR="008F5641">
        <w:t xml:space="preserve">. </w:t>
      </w:r>
    </w:p>
    <w:p w14:paraId="5475CB33" w14:textId="77944636" w:rsidR="00775822" w:rsidRPr="00C5720C" w:rsidRDefault="00616325" w:rsidP="00775822">
      <w:pPr>
        <w:pStyle w:val="BodyCopy"/>
        <w:rPr>
          <w:b/>
        </w:rPr>
      </w:pPr>
      <w:r>
        <w:t>Consultations with placement coordinators confirmed arranging a placement in a rural pharmacy was more time consuming than arranging a metropolitan placement.</w:t>
      </w:r>
      <w:r w:rsidR="00775822">
        <w:t xml:space="preserve"> Placement officers identified a more pronounced workload burden for universities that had compulsory rural placements or sent staff to visit students on placements and conduct assessments. Placement coordinators at three universities with compulsory rural placements stated </w:t>
      </w:r>
      <w:r w:rsidR="007B1FEC">
        <w:t xml:space="preserve">that, </w:t>
      </w:r>
      <w:r w:rsidR="00775822">
        <w:t>without funding from the Administration Support, rural placements could no longer be compulsory and the number of students going rural would significantly decrease.</w:t>
      </w:r>
    </w:p>
    <w:p w14:paraId="39E6A1F3" w14:textId="3AC1BC40" w:rsidR="00884FE6" w:rsidRDefault="008F5641" w:rsidP="0033487B">
      <w:pPr>
        <w:pStyle w:val="Appropriatenessassessment"/>
      </w:pPr>
      <w:r>
        <w:t xml:space="preserve">No literature was identified to support the financial assistance of pharmacy schools to arrange rural placements. However, </w:t>
      </w:r>
      <w:r>
        <w:t xml:space="preserve">the efficacy of rural placements in influencing a student’s future rural </w:t>
      </w:r>
      <w:r w:rsidR="00B54EBB">
        <w:t xml:space="preserve">practice </w:t>
      </w:r>
      <w:r>
        <w:t xml:space="preserve">is supported by evidence. </w:t>
      </w:r>
    </w:p>
    <w:p w14:paraId="5FDFB31A" w14:textId="77777777" w:rsidR="000B4EDE" w:rsidRPr="00C5720C" w:rsidRDefault="000B4EDE" w:rsidP="00DA5675">
      <w:pPr>
        <w:pStyle w:val="Heading4"/>
      </w:pPr>
      <w:r w:rsidRPr="00C5720C">
        <w:t>Effectiveness</w:t>
      </w:r>
    </w:p>
    <w:p w14:paraId="23E6E5C2" w14:textId="188C031D" w:rsidR="003D3116" w:rsidRDefault="003D3116" w:rsidP="00C650B9">
      <w:pPr>
        <w:pStyle w:val="BodyCopy"/>
      </w:pPr>
      <w:r>
        <w:t xml:space="preserve">As shown in section </w:t>
      </w:r>
      <w:r>
        <w:fldChar w:fldCharType="begin"/>
      </w:r>
      <w:r>
        <w:instrText xml:space="preserve"> REF _Ref487782965 \r \h </w:instrText>
      </w:r>
      <w:r>
        <w:fldChar w:fldCharType="separate"/>
      </w:r>
      <w:r w:rsidR="00910E65">
        <w:t>2.4.2</w:t>
      </w:r>
      <w:r>
        <w:fldChar w:fldCharType="end"/>
      </w:r>
      <w:r>
        <w:t>, the number of placement allowances decreased from 731 in 2011 to 373 in 2014 and increased slightly to 389 in 2015. When the number of placement allowances paid per university was compared to 2013</w:t>
      </w:r>
      <w:r w:rsidR="00B54EBB">
        <w:t>–</w:t>
      </w:r>
      <w:r>
        <w:t xml:space="preserve">2015 administration support expenditure, no linear trend was identified. The </w:t>
      </w:r>
      <w:r w:rsidRPr="003D3116">
        <w:rPr>
          <w:i/>
        </w:rPr>
        <w:t>Program Specific Guidelines</w:t>
      </w:r>
      <w:r>
        <w:t xml:space="preserve"> do not specify how administration support is allocated to each university. The lack of a clear association </w:t>
      </w:r>
      <w:r w:rsidR="00EA26F0">
        <w:t xml:space="preserve">of administration support </w:t>
      </w:r>
      <w:r>
        <w:t xml:space="preserve">with rural placement volume or enrolment volume suggests administration support is allocated by another factor, perhaps staff salary. </w:t>
      </w:r>
    </w:p>
    <w:p w14:paraId="6C08F9DF" w14:textId="77777777" w:rsidR="008F5641" w:rsidRDefault="008F5641" w:rsidP="00C650B9">
      <w:pPr>
        <w:pStyle w:val="BodyCopy"/>
      </w:pPr>
      <w:r>
        <w:t xml:space="preserve">Program data was not sufficiently granular to identify whether more placement coordinators had been employed over the life of the 5CPA or whether awareness of the Rural Pharmacy Scholarship Scheme, Rural Pharmacy Student Placement Allowance or the Aboriginal and Torres Strait Islander Pharmacy Scholarship Scheme increased over the 5CPA. </w:t>
      </w:r>
    </w:p>
    <w:p w14:paraId="2F66DB45" w14:textId="7BBFD0A0" w:rsidR="00B65ACA" w:rsidRDefault="00775822" w:rsidP="0033487B">
      <w:pPr>
        <w:pStyle w:val="Effectiveness"/>
      </w:pPr>
      <w:bookmarkStart w:id="81" w:name="_Hlk486933046"/>
      <w:r>
        <w:t xml:space="preserve">The Administration Support to Pharmacy Schools program has not led to an increase in the number of rural placements provided by universities over the life of the 5CPA. However, it is unclear whether the program has prevented further decrease in placements. Further investigation is required to determine whether the program has met its </w:t>
      </w:r>
      <w:r w:rsidR="00667940">
        <w:t xml:space="preserve">aims </w:t>
      </w:r>
      <w:r>
        <w:t>of increasing the number of placement coordinators employed by universities</w:t>
      </w:r>
      <w:r w:rsidR="006D217C">
        <w:t>,</w:t>
      </w:r>
      <w:r>
        <w:t xml:space="preserve"> and </w:t>
      </w:r>
      <w:r w:rsidR="006D217C">
        <w:t xml:space="preserve">increasing </w:t>
      </w:r>
      <w:r>
        <w:t>awareness of other recruitment programs.</w:t>
      </w:r>
    </w:p>
    <w:bookmarkEnd w:id="81"/>
    <w:p w14:paraId="17F6B844" w14:textId="77777777" w:rsidR="000B4EDE" w:rsidRPr="00C5720C" w:rsidRDefault="000B4EDE" w:rsidP="00DA5675">
      <w:pPr>
        <w:pStyle w:val="Heading4"/>
      </w:pPr>
      <w:r w:rsidRPr="00C5720C">
        <w:t>Efficiency</w:t>
      </w:r>
    </w:p>
    <w:p w14:paraId="6F07C624" w14:textId="6FF7A3E9" w:rsidR="006108E5" w:rsidRDefault="00DA5675" w:rsidP="006108E5">
      <w:pPr>
        <w:pStyle w:val="BodyCopy"/>
      </w:pPr>
      <w:r>
        <w:t>Audited statements from 2013</w:t>
      </w:r>
      <w:r w:rsidR="00B54EBB">
        <w:t>–</w:t>
      </w:r>
      <w:r>
        <w:t>14 and 2014</w:t>
      </w:r>
      <w:r w:rsidR="00B54EBB">
        <w:t>–</w:t>
      </w:r>
      <w:r>
        <w:t xml:space="preserve">15 financial years state annual program expenditure was </w:t>
      </w:r>
      <w:r>
        <w:rPr>
          <w:rFonts w:ascii="Times New Roman" w:hAnsi="Times New Roman"/>
        </w:rPr>
        <w:t>$</w:t>
      </w:r>
      <w:r>
        <w:t xml:space="preserve">501,340 and </w:t>
      </w:r>
      <w:r>
        <w:rPr>
          <w:rFonts w:ascii="Times New Roman" w:hAnsi="Times New Roman"/>
        </w:rPr>
        <w:t>$</w:t>
      </w:r>
      <w:r>
        <w:t xml:space="preserve">565,264, respectively. The program was assumed to have a low administration burden given only 16 payments are made per annum. It was estimated the total unit cost (i.e. the cost to support one pharmacy school) was </w:t>
      </w:r>
      <w:r>
        <w:rPr>
          <w:rFonts w:ascii="Times New Roman" w:hAnsi="Times New Roman"/>
        </w:rPr>
        <w:lastRenderedPageBreak/>
        <w:t>$</w:t>
      </w:r>
      <w:r w:rsidR="004F72F4" w:rsidRPr="004F72F4">
        <w:rPr>
          <w:rFonts w:ascii="Garamond" w:eastAsia="Times New Roman" w:hAnsi="Garamond"/>
          <w:color w:val="000000"/>
          <w:spacing w:val="0"/>
          <w:szCs w:val="22"/>
          <w:lang w:eastAsia="en-AU"/>
        </w:rPr>
        <w:t xml:space="preserve">33,959.33 </w:t>
      </w:r>
      <w:r>
        <w:t>per annum.</w:t>
      </w:r>
      <w:r w:rsidR="004F72F4">
        <w:t xml:space="preserve"> </w:t>
      </w:r>
      <w:r w:rsidR="006108E5">
        <w:t xml:space="preserve">The unit cost includes an average estimated administration allocation of </w:t>
      </w:r>
      <w:r w:rsidR="006108E5">
        <w:rPr>
          <w:rFonts w:ascii="Times New Roman" w:hAnsi="Times New Roman"/>
        </w:rPr>
        <w:t>$</w:t>
      </w:r>
      <w:r w:rsidR="006108E5">
        <w:t>628, comprising 2% of total unit cost.</w:t>
      </w:r>
      <w:r>
        <w:t xml:space="preserve"> </w:t>
      </w:r>
    </w:p>
    <w:p w14:paraId="1849512F" w14:textId="0A58059A" w:rsidR="00DA5675" w:rsidRPr="006108E5" w:rsidRDefault="006108E5" w:rsidP="006108E5">
      <w:pPr>
        <w:pStyle w:val="BodyCopy"/>
        <w:rPr>
          <w:rFonts w:ascii="Garamond" w:eastAsia="Times New Roman" w:hAnsi="Garamond"/>
          <w:color w:val="000000"/>
          <w:spacing w:val="0"/>
          <w:szCs w:val="22"/>
          <w:lang w:eastAsia="en-AU"/>
        </w:rPr>
      </w:pPr>
      <w:r>
        <w:t>A</w:t>
      </w:r>
      <w:r w:rsidR="00DA5675">
        <w:t>ctual payments to universities varied greatly with University of Queensland receiving the highest payment in 2014</w:t>
      </w:r>
      <w:r w:rsidR="00B54EBB">
        <w:t>–</w:t>
      </w:r>
      <w:r w:rsidR="00DA5675">
        <w:t>15 (</w:t>
      </w:r>
      <w:r w:rsidR="00DA5675">
        <w:rPr>
          <w:rFonts w:ascii="Times New Roman" w:hAnsi="Times New Roman"/>
        </w:rPr>
        <w:t>$55,772</w:t>
      </w:r>
      <w:r w:rsidR="00DA5675">
        <w:t>) and University of Sydney and University of Technology, Sydney receiving the lowest payments (</w:t>
      </w:r>
      <w:r w:rsidR="00DA5675">
        <w:rPr>
          <w:rFonts w:ascii="Times New Roman" w:hAnsi="Times New Roman"/>
        </w:rPr>
        <w:t>$</w:t>
      </w:r>
      <w:r w:rsidR="00DA5675" w:rsidRPr="00AF4C2D">
        <w:t>16,875</w:t>
      </w:r>
      <w:r w:rsidR="00DA5675">
        <w:rPr>
          <w:rFonts w:ascii="Times New Roman" w:hAnsi="Times New Roman"/>
        </w:rPr>
        <w:t xml:space="preserve"> </w:t>
      </w:r>
      <w:r w:rsidR="00DA5675" w:rsidRPr="00AF4C2D">
        <w:t>each</w:t>
      </w:r>
      <w:r w:rsidR="00DA5675">
        <w:t>).</w:t>
      </w:r>
    </w:p>
    <w:p w14:paraId="4FBC4686" w14:textId="77777777" w:rsidR="004F72F4" w:rsidRPr="00B2593B" w:rsidRDefault="004F72F4" w:rsidP="000157E1">
      <w:pPr>
        <w:pStyle w:val="Effectiveness"/>
        <w:keepLines/>
        <w:rPr>
          <w:lang w:eastAsia="en-AU"/>
        </w:rPr>
      </w:pPr>
      <w:r>
        <w:rPr>
          <w:lang w:eastAsia="en-AU"/>
        </w:rPr>
        <w:t xml:space="preserve">A </w:t>
      </w:r>
      <w:r w:rsidRPr="006108E5">
        <w:rPr>
          <w:lang w:eastAsia="en-AU"/>
        </w:rPr>
        <w:t>single unit cost per supported university</w:t>
      </w:r>
      <w:r w:rsidR="006108E5" w:rsidRPr="006108E5">
        <w:rPr>
          <w:lang w:eastAsia="en-AU"/>
        </w:rPr>
        <w:t xml:space="preserve"> was estimated at</w:t>
      </w:r>
      <w:r w:rsidR="006108E5" w:rsidRPr="006108E5">
        <w:rPr>
          <w:rFonts w:ascii="Times New Roman" w:hAnsi="Times New Roman"/>
          <w:lang w:eastAsia="en-AU"/>
        </w:rPr>
        <w:t xml:space="preserve"> $33,959</w:t>
      </w:r>
      <w:r w:rsidRPr="006108E5">
        <w:rPr>
          <w:lang w:eastAsia="en-AU"/>
        </w:rPr>
        <w:t xml:space="preserve"> </w:t>
      </w:r>
      <w:r w:rsidR="006108E5" w:rsidRPr="006108E5">
        <w:rPr>
          <w:lang w:eastAsia="en-AU"/>
        </w:rPr>
        <w:t>comprising 2</w:t>
      </w:r>
      <w:r w:rsidRPr="006108E5">
        <w:rPr>
          <w:lang w:eastAsia="en-AU"/>
        </w:rPr>
        <w:t xml:space="preserve">% administration overhead costs. This was considered </w:t>
      </w:r>
      <w:r w:rsidR="006108E5" w:rsidRPr="006108E5">
        <w:rPr>
          <w:lang w:eastAsia="en-AU"/>
        </w:rPr>
        <w:t>within</w:t>
      </w:r>
      <w:r w:rsidRPr="006108E5">
        <w:rPr>
          <w:lang w:eastAsia="en-AU"/>
        </w:rPr>
        <w:t xml:space="preserve"> the acceptable range for administration overheads. However, further investigation is required</w:t>
      </w:r>
      <w:r>
        <w:rPr>
          <w:lang w:eastAsia="en-AU"/>
        </w:rPr>
        <w:t xml:space="preserve"> to assess actual time spent administering the program.</w:t>
      </w:r>
    </w:p>
    <w:p w14:paraId="04EA6357" w14:textId="77777777" w:rsidR="00647775" w:rsidRDefault="00DA5675" w:rsidP="00DA5675">
      <w:pPr>
        <w:pStyle w:val="Heading4"/>
      </w:pPr>
      <w:r>
        <w:t>Options for improving program operation</w:t>
      </w:r>
    </w:p>
    <w:p w14:paraId="776A6BD4" w14:textId="77777777" w:rsidR="005F623F" w:rsidRDefault="006C4396" w:rsidP="004F72F4">
      <w:pPr>
        <w:pStyle w:val="BodyCopy"/>
        <w:sectPr w:rsidR="005F623F" w:rsidSect="00D25E91">
          <w:headerReference w:type="default" r:id="rId28"/>
          <w:pgSz w:w="16839" w:h="11907" w:orient="landscape" w:code="9"/>
          <w:pgMar w:top="2268" w:right="1304" w:bottom="851" w:left="737" w:header="567" w:footer="284" w:gutter="0"/>
          <w:cols w:num="2" w:space="709"/>
          <w:docGrid w:linePitch="360"/>
        </w:sectPr>
      </w:pPr>
      <w:r>
        <w:t xml:space="preserve">In consultations, </w:t>
      </w:r>
      <w:r w:rsidR="00457C0C">
        <w:t xml:space="preserve">a representative of </w:t>
      </w:r>
      <w:r w:rsidR="004F72F4">
        <w:t xml:space="preserve">The Guild </w:t>
      </w:r>
      <w:r w:rsidR="000732EE">
        <w:t xml:space="preserve">stated the program </w:t>
      </w:r>
      <w:r w:rsidR="000732EE" w:rsidRPr="000732EE">
        <w:t>offered</w:t>
      </w:r>
      <w:r w:rsidR="004F72F4" w:rsidRPr="000732EE">
        <w:t xml:space="preserve"> no benefit as universities are already obligated to provide placements. The Guild suggested either centralising funds rather than allowing funds to be man</w:t>
      </w:r>
      <w:r w:rsidR="000732EE" w:rsidRPr="000732EE">
        <w:t>aged by the 16</w:t>
      </w:r>
      <w:r w:rsidR="004F72F4" w:rsidRPr="000732EE">
        <w:t xml:space="preserve"> universities or abolishing the program and redirecting funds elsewhere in the 6CPA. </w:t>
      </w:r>
      <w:r w:rsidR="008D73A2">
        <w:t>However, p</w:t>
      </w:r>
      <w:r w:rsidR="009C3F56">
        <w:t xml:space="preserve">lacement coordinators, particularly those contracted to universities with compulsory rural placements, stated they could not offer as many rural placements without the Administration Support program. HMA </w:t>
      </w:r>
      <w:r w:rsidR="008D73A2">
        <w:t xml:space="preserve">did not identify a valid reason to cease the Administrative Support program. However, further investigation is required to identify the effectiveness of the program. </w:t>
      </w:r>
    </w:p>
    <w:p w14:paraId="2EF1C039" w14:textId="4D274AB9" w:rsidR="004F72F4" w:rsidRPr="0059626B" w:rsidRDefault="004F72F4" w:rsidP="004F72F4">
      <w:pPr>
        <w:pStyle w:val="BodyCopy"/>
      </w:pPr>
    </w:p>
    <w:p w14:paraId="0B68065A" w14:textId="5CD6CB8F" w:rsidR="00DA5675" w:rsidRDefault="005F623F" w:rsidP="005F623F">
      <w:pPr>
        <w:pStyle w:val="Heading1"/>
      </w:pPr>
      <w:bookmarkStart w:id="82" w:name="_Toc523318825"/>
      <w:r w:rsidRPr="00DA662F">
        <w:t>Programs</w:t>
      </w:r>
      <w:r>
        <w:t xml:space="preserve"> supporting access to culturally appropriate services</w:t>
      </w:r>
      <w:bookmarkEnd w:id="82"/>
    </w:p>
    <w:p w14:paraId="6A05109E" w14:textId="77777777" w:rsidR="00260717" w:rsidRPr="0033487B" w:rsidRDefault="00260717" w:rsidP="009A65BB">
      <w:pPr>
        <w:pStyle w:val="Heading2"/>
        <w:spacing w:before="0"/>
      </w:pPr>
      <w:bookmarkStart w:id="83" w:name="_Toc523318826"/>
      <w:r w:rsidRPr="0033487B">
        <w:t>Aboriginal and Torres Strait Islander Pharmacy Assistant Traineeship Scheme</w:t>
      </w:r>
      <w:bookmarkEnd w:id="83"/>
    </w:p>
    <w:p w14:paraId="5F5B6F4A" w14:textId="2C15D6CB" w:rsidR="00260717" w:rsidRDefault="00260717" w:rsidP="00DA5675">
      <w:pPr>
        <w:pStyle w:val="Heading3"/>
      </w:pPr>
      <w:bookmarkStart w:id="84" w:name="_Toc523318827"/>
      <w:r w:rsidRPr="000B4EDE">
        <w:t>Context</w:t>
      </w:r>
      <w:bookmarkEnd w:id="84"/>
    </w:p>
    <w:p w14:paraId="51C94751" w14:textId="1F509588" w:rsidR="00260717" w:rsidRPr="00C650B9" w:rsidRDefault="00260717" w:rsidP="00DA5675">
      <w:pPr>
        <w:pStyle w:val="Heading4"/>
      </w:pPr>
      <w:r w:rsidRPr="00C650B9">
        <w:t>Target population</w:t>
      </w:r>
    </w:p>
    <w:p w14:paraId="31C1DBAC" w14:textId="1D74A84D" w:rsidR="00260717" w:rsidRDefault="00260717" w:rsidP="00260717">
      <w:pPr>
        <w:pStyle w:val="BodyCopy"/>
      </w:pPr>
      <w:r>
        <w:t xml:space="preserve">The Aboriginal and Torres Strait Islander Pharmacy Assistant Traineeship Scheme supports </w:t>
      </w:r>
      <w:r w:rsidR="00B54EBB">
        <w:t xml:space="preserve">community pharmacies </w:t>
      </w:r>
      <w:r>
        <w:t>that employ and support an Aboriginal and Torres Strait Islander pharmacy assistant.</w:t>
      </w:r>
      <w:sdt>
        <w:sdtPr>
          <w:id w:val="-2106643120"/>
          <w:citation/>
        </w:sdtPr>
        <w:sdtContent>
          <w:r>
            <w:fldChar w:fldCharType="begin"/>
          </w:r>
          <w:r>
            <w:instrText xml:space="preserve"> CITATION The157 \l 3081 </w:instrText>
          </w:r>
          <w:r>
            <w:fldChar w:fldCharType="separate"/>
          </w:r>
          <w:r w:rsidR="0089011F">
            <w:rPr>
              <w:noProof/>
            </w:rPr>
            <w:t xml:space="preserve"> </w:t>
          </w:r>
          <w:r w:rsidR="0089011F" w:rsidRPr="0089011F">
            <w:rPr>
              <w:noProof/>
            </w:rPr>
            <w:t>[47]</w:t>
          </w:r>
          <w:r>
            <w:fldChar w:fldCharType="end"/>
          </w:r>
        </w:sdtContent>
      </w:sdt>
    </w:p>
    <w:p w14:paraId="06A6563F" w14:textId="3E191410" w:rsidR="005C2B84" w:rsidRDefault="005C2B84" w:rsidP="005C2B84">
      <w:pPr>
        <w:pStyle w:val="Heading4"/>
      </w:pPr>
      <w:r>
        <w:t xml:space="preserve">Program </w:t>
      </w:r>
      <w:r w:rsidR="00667940">
        <w:t>aim</w:t>
      </w:r>
    </w:p>
    <w:p w14:paraId="4475EF0F" w14:textId="5CF7C9D7" w:rsidR="005C2B84" w:rsidRPr="000B4EDE" w:rsidRDefault="005C2B84" w:rsidP="005C2B84">
      <w:pPr>
        <w:pStyle w:val="BodyCopy"/>
      </w:pPr>
      <w:r>
        <w:t xml:space="preserve">The aim of the </w:t>
      </w:r>
      <w:r w:rsidR="00EB25C7">
        <w:t xml:space="preserve">Aboriginal and Torres Strait Islander Pharmacy Assistant Traineeship Scheme </w:t>
      </w:r>
      <w:r w:rsidRPr="000B4EDE">
        <w:t>is to increase Aboriginal and Torres Strait Islander participation in the pharmacy workforce, allowing those pharmacies to better meet the needs of thei</w:t>
      </w:r>
      <w:r>
        <w:t xml:space="preserve">r local communities. </w:t>
      </w:r>
      <w:r w:rsidRPr="000B4EDE">
        <w:t xml:space="preserve">The </w:t>
      </w:r>
      <w:r w:rsidR="00667940">
        <w:t>aim</w:t>
      </w:r>
      <w:r w:rsidR="00667940" w:rsidRPr="000B4EDE">
        <w:t xml:space="preserve"> </w:t>
      </w:r>
      <w:r w:rsidRPr="000B4EDE">
        <w:t xml:space="preserve">of the </w:t>
      </w:r>
      <w:r w:rsidR="00EB25C7">
        <w:t xml:space="preserve">Aboriginal and Torres Strait Islander Pharmacy Assistant Traineeship Scheme </w:t>
      </w:r>
      <w:r w:rsidRPr="000B4EDE">
        <w:t>are:</w:t>
      </w:r>
    </w:p>
    <w:p w14:paraId="7B60DDE6" w14:textId="29072B8D" w:rsidR="005C2B84" w:rsidRPr="000B4EDE" w:rsidRDefault="005C2B84" w:rsidP="005C2B84">
      <w:pPr>
        <w:pStyle w:val="Bullets1"/>
      </w:pPr>
      <w:r w:rsidRPr="000B4EDE">
        <w:t xml:space="preserve">to improve quality use of Pharmaceutical Benefits Scheme (PBS) medicines by </w:t>
      </w:r>
      <w:r w:rsidR="000575FF">
        <w:t xml:space="preserve">Aboriginal and Torres Strait Islander people </w:t>
      </w:r>
      <w:r w:rsidRPr="000B4EDE">
        <w:t>through the community pharmacy netwo</w:t>
      </w:r>
      <w:r>
        <w:t>rk in rural and urban Australia</w:t>
      </w:r>
    </w:p>
    <w:p w14:paraId="4E2DBD62" w14:textId="77777777" w:rsidR="005C2B84" w:rsidRPr="000B4EDE" w:rsidRDefault="005C2B84" w:rsidP="005C2B84">
      <w:pPr>
        <w:pStyle w:val="Bullets1"/>
      </w:pPr>
      <w:r w:rsidRPr="000B4EDE">
        <w:t>to encourage and support Aboriginal and Torres Strait Islander people to become trained as pharmacy assi</w:t>
      </w:r>
      <w:r>
        <w:t>stants and pharmacy technicians, and</w:t>
      </w:r>
    </w:p>
    <w:p w14:paraId="4BC74A1E" w14:textId="131E9006" w:rsidR="005C2B84" w:rsidRPr="000B4EDE" w:rsidRDefault="005C2B84" w:rsidP="005C2B84">
      <w:pPr>
        <w:pStyle w:val="Bullets1"/>
      </w:pPr>
      <w:r w:rsidRPr="000B4EDE">
        <w:t xml:space="preserve">to increase the </w:t>
      </w:r>
      <w:r w:rsidR="000575FF">
        <w:t xml:space="preserve">Aboriginal and Torres Strait Islander </w:t>
      </w:r>
      <w:r w:rsidRPr="000B4EDE">
        <w:t>health workforce in community pharmacies</w:t>
      </w:r>
      <w:r w:rsidR="00121EBA">
        <w:t>,</w:t>
      </w:r>
      <w:r w:rsidRPr="000B4EDE">
        <w:t xml:space="preserve"> thereby assisting in meeting the needs of their communities.</w:t>
      </w:r>
    </w:p>
    <w:p w14:paraId="377341DB" w14:textId="77777777" w:rsidR="005C2B84" w:rsidRPr="000B4EDE" w:rsidRDefault="005C2B84" w:rsidP="005C2B84">
      <w:pPr>
        <w:pStyle w:val="Heading4"/>
      </w:pPr>
      <w:r w:rsidRPr="000B4EDE">
        <w:t>Program delivery method</w:t>
      </w:r>
    </w:p>
    <w:p w14:paraId="5BB24A0B" w14:textId="1687FAD1" w:rsidR="005C2B84" w:rsidRDefault="005C2B84" w:rsidP="005C2B84">
      <w:pPr>
        <w:pStyle w:val="BodyCopy"/>
      </w:pPr>
      <w:r>
        <w:t xml:space="preserve">The </w:t>
      </w:r>
      <w:r w:rsidR="00EB25C7">
        <w:t xml:space="preserve">Aboriginal and Torres Strait Islander Pharmacy Assistant Traineeship Scheme </w:t>
      </w:r>
      <w:r>
        <w:t xml:space="preserve">provides financial support to </w:t>
      </w:r>
      <w:r w:rsidR="00121EBA">
        <w:t xml:space="preserve">community pharmacies </w:t>
      </w:r>
      <w:r>
        <w:t>to enable them to employ and support an Aboriginal and Torres Strait Islander pharmacy assistant undertaking a nationally accredited pharmacy assistant training course.</w:t>
      </w:r>
      <w:sdt>
        <w:sdtPr>
          <w:id w:val="507097859"/>
          <w:citation/>
        </w:sdtPr>
        <w:sdtContent>
          <w:r>
            <w:fldChar w:fldCharType="begin"/>
          </w:r>
          <w:r>
            <w:instrText xml:space="preserve"> CITATION The157 \l 3081 </w:instrText>
          </w:r>
          <w:r>
            <w:fldChar w:fldCharType="separate"/>
          </w:r>
          <w:r w:rsidR="0089011F">
            <w:rPr>
              <w:noProof/>
            </w:rPr>
            <w:t xml:space="preserve"> </w:t>
          </w:r>
          <w:r w:rsidR="0089011F" w:rsidRPr="0089011F">
            <w:rPr>
              <w:noProof/>
            </w:rPr>
            <w:t>[47]</w:t>
          </w:r>
          <w:r>
            <w:fldChar w:fldCharType="end"/>
          </w:r>
        </w:sdtContent>
      </w:sdt>
      <w:r>
        <w:t xml:space="preserve"> Community </w:t>
      </w:r>
      <w:r w:rsidR="00121EBA">
        <w:t xml:space="preserve">pharmacies </w:t>
      </w:r>
      <w:r>
        <w:t xml:space="preserve">may receive an allowance of </w:t>
      </w:r>
      <w:r>
        <w:rPr>
          <w:rFonts w:ascii="Times New Roman" w:hAnsi="Times New Roman"/>
        </w:rPr>
        <w:t>$</w:t>
      </w:r>
      <w:r>
        <w:t xml:space="preserve">10,000 to cover the training costs of the pharmacy assistant and contribute to the pharmacy assistant’s wages. </w:t>
      </w:r>
    </w:p>
    <w:p w14:paraId="61CF7FE1" w14:textId="77777777" w:rsidR="005C2B84" w:rsidRPr="000B4EDE" w:rsidRDefault="005C2B84" w:rsidP="005C2B84">
      <w:pPr>
        <w:pStyle w:val="Heading4"/>
      </w:pPr>
      <w:r w:rsidRPr="000B4EDE">
        <w:t>Program volumes</w:t>
      </w:r>
    </w:p>
    <w:p w14:paraId="7069CC8D" w14:textId="43AC6CF9" w:rsidR="005C2B84" w:rsidRDefault="005C2B84" w:rsidP="005C2B84">
      <w:pPr>
        <w:pStyle w:val="BodyCopy"/>
      </w:pPr>
      <w:r>
        <w:t>Program data indicates 48 traineeships were supported from 2012 to 2016. The number of funded traineeships peaked in 2013</w:t>
      </w:r>
      <w:r w:rsidR="00121EBA">
        <w:t>–</w:t>
      </w:r>
      <w:r>
        <w:t xml:space="preserve">14 as shown in </w:t>
      </w:r>
      <w:r>
        <w:fldChar w:fldCharType="begin"/>
      </w:r>
      <w:r>
        <w:instrText xml:space="preserve"> REF _Ref488048712 \h </w:instrText>
      </w:r>
      <w:r>
        <w:fldChar w:fldCharType="separate"/>
      </w:r>
      <w:r w:rsidR="00910E65">
        <w:t xml:space="preserve">Table </w:t>
      </w:r>
      <w:r w:rsidR="00910E65">
        <w:rPr>
          <w:noProof/>
        </w:rPr>
        <w:t>5</w:t>
      </w:r>
      <w:r w:rsidR="00910E65">
        <w:t>.</w:t>
      </w:r>
      <w:r w:rsidR="00910E65">
        <w:rPr>
          <w:noProof/>
        </w:rPr>
        <w:t>1</w:t>
      </w:r>
      <w:r>
        <w:fldChar w:fldCharType="end"/>
      </w:r>
      <w:r>
        <w:t xml:space="preserve">. </w:t>
      </w:r>
    </w:p>
    <w:p w14:paraId="25D93A0E" w14:textId="30E2B315" w:rsidR="005C2B84" w:rsidRDefault="005C2B84" w:rsidP="005C2B84">
      <w:pPr>
        <w:pStyle w:val="Caption"/>
        <w:rPr>
          <w:rStyle w:val="Captionnotbold"/>
        </w:rPr>
      </w:pPr>
      <w:bookmarkStart w:id="85" w:name="_Ref488048712"/>
      <w:r>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5</w:t>
      </w:r>
      <w:r w:rsidR="00BC6E6C">
        <w:rPr>
          <w:noProof/>
        </w:rPr>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1</w:t>
      </w:r>
      <w:r w:rsidR="00BC6E6C">
        <w:rPr>
          <w:noProof/>
        </w:rPr>
        <w:fldChar w:fldCharType="end"/>
      </w:r>
      <w:bookmarkEnd w:id="85"/>
      <w:r>
        <w:t xml:space="preserve">: </w:t>
      </w:r>
      <w:r w:rsidR="000575FF">
        <w:rPr>
          <w:rStyle w:val="Captionnotbold"/>
        </w:rPr>
        <w:t xml:space="preserve">Aboriginal and Torres Strait Islander Pharmacy Assistant Traineeship Scheme </w:t>
      </w:r>
      <w:r>
        <w:rPr>
          <w:rStyle w:val="Captionnotbold"/>
        </w:rPr>
        <w:t>volumes by financial year</w:t>
      </w:r>
    </w:p>
    <w:tbl>
      <w:tblPr>
        <w:tblStyle w:val="HMATable"/>
        <w:tblW w:w="5000" w:type="pct"/>
        <w:tblLook w:val="04A0" w:firstRow="1" w:lastRow="0" w:firstColumn="1" w:lastColumn="0" w:noHBand="0" w:noVBand="1"/>
        <w:tblCaption w:val="Table 5.1: Aboriginal and Torres Strait Islander Pharmacy Assistant Traineeship Scheme volumes by financial year"/>
        <w:tblDescription w:val="Table 5.1: Aboriginal and Torres Strait Islander Pharmacy Assistant Traineeship Scheme volumes by financial year"/>
      </w:tblPr>
      <w:tblGrid>
        <w:gridCol w:w="1406"/>
        <w:gridCol w:w="1407"/>
        <w:gridCol w:w="1407"/>
        <w:gridCol w:w="1407"/>
        <w:gridCol w:w="1407"/>
      </w:tblGrid>
      <w:tr w:rsidR="005C2B84" w14:paraId="172CCF0D" w14:textId="77777777" w:rsidTr="0048517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99" w:type="pct"/>
          </w:tcPr>
          <w:p w14:paraId="1994F63E" w14:textId="77777777" w:rsidR="005C2B84" w:rsidRDefault="005C2B84" w:rsidP="0048517E">
            <w:pPr>
              <w:pStyle w:val="TableColumnHeading"/>
            </w:pPr>
            <w:r>
              <w:t>Financial year</w:t>
            </w:r>
          </w:p>
        </w:tc>
        <w:tc>
          <w:tcPr>
            <w:tcW w:w="1000" w:type="pct"/>
          </w:tcPr>
          <w:p w14:paraId="02B7631F" w14:textId="51298CC7" w:rsidR="005C2B84" w:rsidRDefault="005C2B84" w:rsidP="0048517E">
            <w:pPr>
              <w:pStyle w:val="TableColumnHeading"/>
              <w:jc w:val="center"/>
              <w:cnfStyle w:val="100000000000" w:firstRow="1" w:lastRow="0" w:firstColumn="0" w:lastColumn="0" w:oddVBand="0" w:evenVBand="0" w:oddHBand="0" w:evenHBand="0" w:firstRowFirstColumn="0" w:firstRowLastColumn="0" w:lastRowFirstColumn="0" w:lastRowLastColumn="0"/>
            </w:pPr>
            <w:r>
              <w:t>2012</w:t>
            </w:r>
            <w:r w:rsidR="00121EBA">
              <w:t>–</w:t>
            </w:r>
            <w:r>
              <w:t>13</w:t>
            </w:r>
          </w:p>
        </w:tc>
        <w:tc>
          <w:tcPr>
            <w:tcW w:w="1000" w:type="pct"/>
          </w:tcPr>
          <w:p w14:paraId="50625163" w14:textId="420A9C5D" w:rsidR="005C2B84" w:rsidRDefault="005C2B84" w:rsidP="0048517E">
            <w:pPr>
              <w:pStyle w:val="TableColumnHeading"/>
              <w:jc w:val="center"/>
              <w:cnfStyle w:val="100000000000" w:firstRow="1" w:lastRow="0" w:firstColumn="0" w:lastColumn="0" w:oddVBand="0" w:evenVBand="0" w:oddHBand="0" w:evenHBand="0" w:firstRowFirstColumn="0" w:firstRowLastColumn="0" w:lastRowFirstColumn="0" w:lastRowLastColumn="0"/>
            </w:pPr>
            <w:r>
              <w:t>2013</w:t>
            </w:r>
            <w:r w:rsidR="00121EBA">
              <w:t>–</w:t>
            </w:r>
            <w:r>
              <w:t>14</w:t>
            </w:r>
          </w:p>
        </w:tc>
        <w:tc>
          <w:tcPr>
            <w:tcW w:w="1000" w:type="pct"/>
          </w:tcPr>
          <w:p w14:paraId="66D9147D" w14:textId="2C1D6F1B" w:rsidR="005C2B84" w:rsidRDefault="005C2B84" w:rsidP="0048517E">
            <w:pPr>
              <w:pStyle w:val="TableColumnHeading"/>
              <w:jc w:val="center"/>
              <w:cnfStyle w:val="100000000000" w:firstRow="1" w:lastRow="0" w:firstColumn="0" w:lastColumn="0" w:oddVBand="0" w:evenVBand="0" w:oddHBand="0" w:evenHBand="0" w:firstRowFirstColumn="0" w:firstRowLastColumn="0" w:lastRowFirstColumn="0" w:lastRowLastColumn="0"/>
            </w:pPr>
            <w:r>
              <w:t>2014</w:t>
            </w:r>
            <w:r w:rsidR="00121EBA">
              <w:t>–</w:t>
            </w:r>
            <w:r>
              <w:t>15</w:t>
            </w:r>
          </w:p>
        </w:tc>
        <w:tc>
          <w:tcPr>
            <w:tcW w:w="1000" w:type="pct"/>
          </w:tcPr>
          <w:p w14:paraId="30F3E1DE" w14:textId="003C380D" w:rsidR="005C2B84" w:rsidRDefault="005C2B84" w:rsidP="0048517E">
            <w:pPr>
              <w:pStyle w:val="TableColumnHeading"/>
              <w:jc w:val="center"/>
              <w:cnfStyle w:val="100000000000" w:firstRow="1" w:lastRow="0" w:firstColumn="0" w:lastColumn="0" w:oddVBand="0" w:evenVBand="0" w:oddHBand="0" w:evenHBand="0" w:firstRowFirstColumn="0" w:firstRowLastColumn="0" w:lastRowFirstColumn="0" w:lastRowLastColumn="0"/>
            </w:pPr>
            <w:r>
              <w:t>2015</w:t>
            </w:r>
            <w:r w:rsidR="00121EBA">
              <w:t>–</w:t>
            </w:r>
            <w:r>
              <w:t>16</w:t>
            </w:r>
          </w:p>
        </w:tc>
      </w:tr>
      <w:tr w:rsidR="005C2B84" w14:paraId="36094DAF" w14:textId="77777777" w:rsidTr="0048517E">
        <w:tc>
          <w:tcPr>
            <w:cnfStyle w:val="001000000000" w:firstRow="0" w:lastRow="0" w:firstColumn="1" w:lastColumn="0" w:oddVBand="0" w:evenVBand="0" w:oddHBand="0" w:evenHBand="0" w:firstRowFirstColumn="0" w:firstRowLastColumn="0" w:lastRowFirstColumn="0" w:lastRowLastColumn="0"/>
            <w:tcW w:w="999" w:type="pct"/>
          </w:tcPr>
          <w:p w14:paraId="2D0FF18D" w14:textId="77777777" w:rsidR="005C2B84" w:rsidRDefault="005C2B84" w:rsidP="0048517E">
            <w:pPr>
              <w:pStyle w:val="TableCopy"/>
            </w:pPr>
            <w:r>
              <w:t>Traineeships supported</w:t>
            </w:r>
          </w:p>
        </w:tc>
        <w:tc>
          <w:tcPr>
            <w:tcW w:w="1000" w:type="pct"/>
          </w:tcPr>
          <w:p w14:paraId="57B2812B" w14:textId="77777777" w:rsidR="005C2B84" w:rsidRDefault="005C2B84" w:rsidP="0048517E">
            <w:pPr>
              <w:pStyle w:val="TableCopy"/>
              <w:jc w:val="center"/>
              <w:cnfStyle w:val="000000000000" w:firstRow="0" w:lastRow="0" w:firstColumn="0" w:lastColumn="0" w:oddVBand="0" w:evenVBand="0" w:oddHBand="0" w:evenHBand="0" w:firstRowFirstColumn="0" w:firstRowLastColumn="0" w:lastRowFirstColumn="0" w:lastRowLastColumn="0"/>
            </w:pPr>
            <w:r>
              <w:t>8</w:t>
            </w:r>
          </w:p>
        </w:tc>
        <w:tc>
          <w:tcPr>
            <w:tcW w:w="1000" w:type="pct"/>
          </w:tcPr>
          <w:p w14:paraId="76122B61" w14:textId="77777777" w:rsidR="005C2B84" w:rsidRDefault="005C2B84" w:rsidP="0048517E">
            <w:pPr>
              <w:pStyle w:val="TableCopy"/>
              <w:jc w:val="center"/>
              <w:cnfStyle w:val="000000000000" w:firstRow="0" w:lastRow="0" w:firstColumn="0" w:lastColumn="0" w:oddVBand="0" w:evenVBand="0" w:oddHBand="0" w:evenHBand="0" w:firstRowFirstColumn="0" w:firstRowLastColumn="0" w:lastRowFirstColumn="0" w:lastRowLastColumn="0"/>
            </w:pPr>
            <w:r>
              <w:t>18</w:t>
            </w:r>
          </w:p>
        </w:tc>
        <w:tc>
          <w:tcPr>
            <w:tcW w:w="1000" w:type="pct"/>
          </w:tcPr>
          <w:p w14:paraId="3217237F" w14:textId="77777777" w:rsidR="005C2B84" w:rsidRDefault="005C2B84" w:rsidP="0048517E">
            <w:pPr>
              <w:pStyle w:val="TableCopy"/>
              <w:jc w:val="center"/>
              <w:cnfStyle w:val="000000000000" w:firstRow="0" w:lastRow="0" w:firstColumn="0" w:lastColumn="0" w:oddVBand="0" w:evenVBand="0" w:oddHBand="0" w:evenHBand="0" w:firstRowFirstColumn="0" w:firstRowLastColumn="0" w:lastRowFirstColumn="0" w:lastRowLastColumn="0"/>
            </w:pPr>
            <w:r>
              <w:t>8</w:t>
            </w:r>
          </w:p>
        </w:tc>
        <w:tc>
          <w:tcPr>
            <w:tcW w:w="1000" w:type="pct"/>
          </w:tcPr>
          <w:p w14:paraId="3CB99155" w14:textId="77777777" w:rsidR="005C2B84" w:rsidRDefault="005C2B84" w:rsidP="0048517E">
            <w:pPr>
              <w:pStyle w:val="TableCopy"/>
              <w:jc w:val="center"/>
              <w:cnfStyle w:val="000000000000" w:firstRow="0" w:lastRow="0" w:firstColumn="0" w:lastColumn="0" w:oddVBand="0" w:evenVBand="0" w:oddHBand="0" w:evenHBand="0" w:firstRowFirstColumn="0" w:firstRowLastColumn="0" w:lastRowFirstColumn="0" w:lastRowLastColumn="0"/>
            </w:pPr>
            <w:r>
              <w:t>14</w:t>
            </w:r>
          </w:p>
        </w:tc>
      </w:tr>
    </w:tbl>
    <w:p w14:paraId="1DF60A51" w14:textId="77777777" w:rsidR="005C2B84" w:rsidRPr="000B4EDE" w:rsidRDefault="005C2B84" w:rsidP="005C2B84">
      <w:pPr>
        <w:pStyle w:val="Heading3"/>
      </w:pPr>
      <w:bookmarkStart w:id="86" w:name="_Toc523318828"/>
      <w:r w:rsidRPr="000B4EDE">
        <w:t>Evaluation findings</w:t>
      </w:r>
      <w:bookmarkEnd w:id="86"/>
    </w:p>
    <w:p w14:paraId="02F693CE" w14:textId="77777777" w:rsidR="005C2B84" w:rsidRPr="000B4EDE" w:rsidRDefault="005C2B84" w:rsidP="005C2B84">
      <w:pPr>
        <w:pStyle w:val="Heading4"/>
      </w:pPr>
      <w:r w:rsidRPr="000B4EDE">
        <w:t>Appropriateness</w:t>
      </w:r>
    </w:p>
    <w:p w14:paraId="4890F929" w14:textId="19C43FC3" w:rsidR="005C2B84" w:rsidRDefault="005C2B84" w:rsidP="005C2B84">
      <w:pPr>
        <w:pStyle w:val="BodyCopy"/>
      </w:pPr>
      <w:r>
        <w:t xml:space="preserve">While the literature scan did not identify any programs similar to the </w:t>
      </w:r>
      <w:r w:rsidR="00EB25C7">
        <w:t xml:space="preserve">Aboriginal and Torres Strait Islander Pharmacy Assistant Traineeship Scheme </w:t>
      </w:r>
      <w:r>
        <w:t xml:space="preserve">nor any evidence supporting similar programs, consultations with peak body stakeholders confirmed the appropriateness of the program’s </w:t>
      </w:r>
      <w:r w:rsidR="00667940">
        <w:t>aim</w:t>
      </w:r>
      <w:r>
        <w:t xml:space="preserve">. </w:t>
      </w:r>
    </w:p>
    <w:p w14:paraId="7CB383FE" w14:textId="546F4001" w:rsidR="005C2B84" w:rsidRDefault="005C2B84" w:rsidP="005C2B84">
      <w:pPr>
        <w:pStyle w:val="BodyCopy"/>
      </w:pPr>
      <w:r>
        <w:t xml:space="preserve">The National Aboriginal Community Controlled Health Organisation (NACCHO) representative noted pharmacy assistants are often the first point of contact for Aboriginal and Torres Strait Islander people entering a pharmacy. Assistants can </w:t>
      </w:r>
      <w:r>
        <w:lastRenderedPageBreak/>
        <w:t xml:space="preserve">help translate information about medicines to the community and assist pharmacists to deliver culturally-responsive care. The </w:t>
      </w:r>
      <w:r w:rsidR="00EB25C7">
        <w:t xml:space="preserve">Aboriginal and Torres Strait Islander Pharmacy Assistant Traineeship Scheme </w:t>
      </w:r>
      <w:r>
        <w:t>has the potential to improve health outcomes and quality use of medicines among Aboriginal and Torres Strait Islander communities. Further, the NACCHO representative appreciated that the program catered to pharmacy assistants from metropolitan and rural areas as this breaks the stereotype of Aboriginal and Torres Strait Islander communities primarily living in remote areas. NACCHO agreed the focus on training Aboriginal and Torres Strait Islander pharmacy assistants is appropriate, as it introduces young people to pharmacy with the possibility of career growth (e.g. pharmacy management).</w:t>
      </w:r>
    </w:p>
    <w:p w14:paraId="0DDB9FE9" w14:textId="0A964617" w:rsidR="005C2B84" w:rsidRDefault="005C2B84" w:rsidP="005C2B84">
      <w:pPr>
        <w:pStyle w:val="BodyCopy"/>
      </w:pPr>
      <w:r>
        <w:t>However, the NACCHO representative noted that the organisation has not been engaged in the recent delivery or promotion of the program. Further, the representative expressed concern that the needs of Aboriginal and Torres Strait Islander communities may not be appropriately addressed by the traineeship and scholarship schemes</w:t>
      </w:r>
      <w:r w:rsidR="00121EBA">
        <w:t>,</w:t>
      </w:r>
      <w:r>
        <w:t xml:space="preserve"> as they queried whether a </w:t>
      </w:r>
      <w:r w:rsidR="00121EBA">
        <w:t>community-</w:t>
      </w:r>
      <w:r>
        <w:t xml:space="preserve">needs assessment had been undertaken. The representative suggested a </w:t>
      </w:r>
      <w:r w:rsidR="00121EBA">
        <w:t>community-</w:t>
      </w:r>
      <w:r>
        <w:t xml:space="preserve">needs assessment should be undertaken and Aboriginal Community Controlled Health Organisations (ACCHOs) should be engaged in this process. </w:t>
      </w:r>
    </w:p>
    <w:p w14:paraId="3D927234" w14:textId="47F9F337" w:rsidR="005C2B84" w:rsidRPr="000B4EDE" w:rsidRDefault="005C2B84" w:rsidP="0033487B">
      <w:pPr>
        <w:pStyle w:val="Appropriatenessassessment"/>
      </w:pPr>
      <w:r>
        <w:t xml:space="preserve">While no literature was identified to support the </w:t>
      </w:r>
      <w:r w:rsidR="00667940">
        <w:t xml:space="preserve">aim </w:t>
      </w:r>
      <w:r>
        <w:t xml:space="preserve">of the </w:t>
      </w:r>
      <w:r w:rsidR="00EB25C7">
        <w:t>Aboriginal and Torres Strait Islander Pharmacy Assistant Traineeship Scheme</w:t>
      </w:r>
      <w:r>
        <w:t>, consultation with NACCHO supported the program’s aim. However, it is unclear whether community consultation was undertaken when developing the program and</w:t>
      </w:r>
      <w:r w:rsidR="007D6D4A">
        <w:t>,</w:t>
      </w:r>
      <w:r>
        <w:t xml:space="preserve"> as such</w:t>
      </w:r>
      <w:r w:rsidR="007D6D4A">
        <w:t>,</w:t>
      </w:r>
      <w:r>
        <w:t xml:space="preserve"> may not be fully responsive to the needs of </w:t>
      </w:r>
      <w:r w:rsidR="00EB25C7">
        <w:t xml:space="preserve">Aboriginal and Torres Strait Islander </w:t>
      </w:r>
      <w:r>
        <w:t xml:space="preserve">communities. </w:t>
      </w:r>
    </w:p>
    <w:p w14:paraId="36341673" w14:textId="77777777" w:rsidR="005C2B84" w:rsidRPr="000B4EDE" w:rsidRDefault="005C2B84" w:rsidP="005C2B84">
      <w:pPr>
        <w:pStyle w:val="Heading4"/>
      </w:pPr>
      <w:r w:rsidRPr="000B4EDE">
        <w:t>Effectiveness</w:t>
      </w:r>
    </w:p>
    <w:p w14:paraId="074E004A" w14:textId="1158D96B" w:rsidR="005C2B84" w:rsidRDefault="005C2B84" w:rsidP="005C2B84">
      <w:pPr>
        <w:pStyle w:val="BodyCopy"/>
      </w:pPr>
      <w:r>
        <w:t>Program data indicates fluctuation in the number of pharmacy assistant traineeships funded between 2012 and 2016</w:t>
      </w:r>
      <w:r w:rsidR="007D6D4A">
        <w:t>,</w:t>
      </w:r>
      <w:r>
        <w:t xml:space="preserve"> as shown in </w:t>
      </w:r>
      <w:r>
        <w:fldChar w:fldCharType="begin"/>
      </w:r>
      <w:r>
        <w:instrText xml:space="preserve"> REF _Ref488053633 \h </w:instrText>
      </w:r>
      <w:r>
        <w:fldChar w:fldCharType="separate"/>
      </w:r>
      <w:r w:rsidR="00910E65">
        <w:t xml:space="preserve">Figure </w:t>
      </w:r>
      <w:r w:rsidR="00910E65">
        <w:rPr>
          <w:noProof/>
        </w:rPr>
        <w:t>5</w:t>
      </w:r>
      <w:r w:rsidR="00910E65">
        <w:t>.</w:t>
      </w:r>
      <w:r w:rsidR="00910E65">
        <w:rPr>
          <w:noProof/>
        </w:rPr>
        <w:t>1</w:t>
      </w:r>
      <w:r>
        <w:fldChar w:fldCharType="end"/>
      </w:r>
      <w:r>
        <w:t xml:space="preserve">. </w:t>
      </w:r>
      <w:r w:rsidR="007D6D4A">
        <w:t xml:space="preserve">Because </w:t>
      </w:r>
      <w:r>
        <w:t xml:space="preserve">the number of traineeships funded in any given year is small, variations in program volume appear larger when analysed over time. Overall, there was a slight increase in traineeships funded from 2012 to 2016. </w:t>
      </w:r>
    </w:p>
    <w:p w14:paraId="566DC76F" w14:textId="6B6144A0" w:rsidR="005C2B84" w:rsidRPr="000B6D94" w:rsidRDefault="005C2B84" w:rsidP="005C2B84">
      <w:pPr>
        <w:pStyle w:val="Caption"/>
        <w:rPr>
          <w:rStyle w:val="Captionnotbold"/>
        </w:rPr>
      </w:pPr>
      <w:bookmarkStart w:id="87" w:name="_Ref488053633"/>
      <w:r>
        <w:t xml:space="preserve">Figure </w:t>
      </w:r>
      <w:r w:rsidR="00BC6E6C">
        <w:rPr>
          <w:noProof/>
        </w:rPr>
        <w:fldChar w:fldCharType="begin"/>
      </w:r>
      <w:r w:rsidR="00BC6E6C">
        <w:rPr>
          <w:noProof/>
        </w:rPr>
        <w:instrText xml:space="preserve"> STYLEREF 1 \s </w:instrText>
      </w:r>
      <w:r w:rsidR="00BC6E6C">
        <w:rPr>
          <w:noProof/>
        </w:rPr>
        <w:fldChar w:fldCharType="separate"/>
      </w:r>
      <w:r w:rsidR="00910E65">
        <w:rPr>
          <w:noProof/>
        </w:rPr>
        <w:t>5</w:t>
      </w:r>
      <w:r w:rsidR="00BC6E6C">
        <w:rPr>
          <w:noProof/>
        </w:rPr>
        <w:fldChar w:fldCharType="end"/>
      </w:r>
      <w:r w:rsidR="00181D4C">
        <w:t>.</w:t>
      </w:r>
      <w:r w:rsidR="00BC6E6C">
        <w:rPr>
          <w:noProof/>
        </w:rPr>
        <w:fldChar w:fldCharType="begin"/>
      </w:r>
      <w:r w:rsidR="00BC6E6C">
        <w:rPr>
          <w:noProof/>
        </w:rPr>
        <w:instrText xml:space="preserve"> SEQ Figure \* ARABIC \s 1 </w:instrText>
      </w:r>
      <w:r w:rsidR="00BC6E6C">
        <w:rPr>
          <w:noProof/>
        </w:rPr>
        <w:fldChar w:fldCharType="separate"/>
      </w:r>
      <w:r w:rsidR="00910E65">
        <w:rPr>
          <w:noProof/>
        </w:rPr>
        <w:t>1</w:t>
      </w:r>
      <w:r w:rsidR="00BC6E6C">
        <w:rPr>
          <w:noProof/>
        </w:rPr>
        <w:fldChar w:fldCharType="end"/>
      </w:r>
      <w:bookmarkEnd w:id="87"/>
      <w:r>
        <w:t xml:space="preserve">: </w:t>
      </w:r>
      <w:r>
        <w:rPr>
          <w:rStyle w:val="Captionnotbold"/>
        </w:rPr>
        <w:t>Traineeships funded from 2012</w:t>
      </w:r>
      <w:r w:rsidR="007D6D4A">
        <w:rPr>
          <w:rStyle w:val="Captionnotbold"/>
        </w:rPr>
        <w:t>–</w:t>
      </w:r>
      <w:r>
        <w:rPr>
          <w:rStyle w:val="Captionnotbold"/>
        </w:rPr>
        <w:t>13 to 2015</w:t>
      </w:r>
      <w:r w:rsidR="007D6D4A">
        <w:rPr>
          <w:rStyle w:val="Captionnotbold"/>
        </w:rPr>
        <w:t>–</w:t>
      </w:r>
      <w:r>
        <w:rPr>
          <w:rStyle w:val="Captionnotbold"/>
        </w:rPr>
        <w:t>16 financial years</w:t>
      </w:r>
    </w:p>
    <w:p w14:paraId="4C88E223" w14:textId="77777777" w:rsidR="005C2B84" w:rsidRDefault="005C2B84" w:rsidP="005C2B84">
      <w:pPr>
        <w:pStyle w:val="BodyCopy"/>
      </w:pPr>
      <w:r>
        <w:rPr>
          <w:noProof/>
          <w:lang w:eastAsia="en-AU"/>
        </w:rPr>
        <w:drawing>
          <wp:inline distT="0" distB="0" distL="0" distR="0" wp14:anchorId="28CBCA18" wp14:editId="261BBCA5">
            <wp:extent cx="4486910" cy="2694940"/>
            <wp:effectExtent l="0" t="0" r="8890" b="0"/>
            <wp:docPr id="72" name="Picture 72" descr="Line graph showing traineeships funded from 2012-13 to 2015-16 financial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86910" cy="2694940"/>
                    </a:xfrm>
                    <a:prstGeom prst="rect">
                      <a:avLst/>
                    </a:prstGeom>
                    <a:noFill/>
                  </pic:spPr>
                </pic:pic>
              </a:graphicData>
            </a:graphic>
          </wp:inline>
        </w:drawing>
      </w:r>
    </w:p>
    <w:p w14:paraId="3A58395F" w14:textId="528ABE84" w:rsidR="005C2B84" w:rsidRDefault="005C2B84" w:rsidP="005C2B84">
      <w:pPr>
        <w:pStyle w:val="BodyCopy"/>
      </w:pPr>
      <w:r>
        <w:t>Forty-eight percent of funded traineeships were undertaken in New South Wales pharmacies, followed by 29% in Queensland pharmacies</w:t>
      </w:r>
      <w:r w:rsidR="007D6D4A">
        <w:t>,</w:t>
      </w:r>
      <w:r>
        <w:t xml:space="preserve"> as shown in </w:t>
      </w:r>
      <w:r>
        <w:fldChar w:fldCharType="begin"/>
      </w:r>
      <w:r>
        <w:instrText xml:space="preserve"> REF _Ref488053936 \h </w:instrText>
      </w:r>
      <w:r>
        <w:fldChar w:fldCharType="separate"/>
      </w:r>
      <w:r w:rsidR="00910E65">
        <w:t xml:space="preserve">Table </w:t>
      </w:r>
      <w:r w:rsidR="00910E65">
        <w:rPr>
          <w:noProof/>
        </w:rPr>
        <w:t>5</w:t>
      </w:r>
      <w:r w:rsidR="00910E65">
        <w:t>.</w:t>
      </w:r>
      <w:r w:rsidR="00910E65">
        <w:rPr>
          <w:noProof/>
        </w:rPr>
        <w:t>2</w:t>
      </w:r>
      <w:r>
        <w:fldChar w:fldCharType="end"/>
      </w:r>
      <w:r>
        <w:t xml:space="preserve">. </w:t>
      </w:r>
    </w:p>
    <w:p w14:paraId="659DD77D" w14:textId="2B9BCD71" w:rsidR="005C2B84" w:rsidRDefault="005C2B84" w:rsidP="005C2B84">
      <w:pPr>
        <w:pStyle w:val="Caption"/>
        <w:rPr>
          <w:rStyle w:val="Captionnotbold"/>
        </w:rPr>
      </w:pPr>
      <w:bookmarkStart w:id="88" w:name="_Ref488053936"/>
      <w:r>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5</w:t>
      </w:r>
      <w:r w:rsidR="00BC6E6C">
        <w:rPr>
          <w:noProof/>
        </w:rPr>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2</w:t>
      </w:r>
      <w:r w:rsidR="00BC6E6C">
        <w:rPr>
          <w:noProof/>
        </w:rPr>
        <w:fldChar w:fldCharType="end"/>
      </w:r>
      <w:bookmarkEnd w:id="88"/>
      <w:r>
        <w:t xml:space="preserve">: </w:t>
      </w:r>
      <w:r>
        <w:rPr>
          <w:rStyle w:val="Captionnotbold"/>
        </w:rPr>
        <w:t>Traineeships funded, by jurisdiction</w:t>
      </w:r>
    </w:p>
    <w:tbl>
      <w:tblPr>
        <w:tblStyle w:val="HMATable"/>
        <w:tblW w:w="5000" w:type="pct"/>
        <w:tblLook w:val="04A0" w:firstRow="1" w:lastRow="0" w:firstColumn="1" w:lastColumn="0" w:noHBand="0" w:noVBand="1"/>
        <w:tblCaption w:val="Table 5.2: Traineeships funded, by jurisdiction"/>
        <w:tblDescription w:val="Table 5.2: Traineeships funded, by jurisdiction"/>
      </w:tblPr>
      <w:tblGrid>
        <w:gridCol w:w="2344"/>
        <w:gridCol w:w="2345"/>
        <w:gridCol w:w="2345"/>
      </w:tblGrid>
      <w:tr w:rsidR="005C2B84" w14:paraId="4D03B2D2" w14:textId="77777777" w:rsidTr="00FD7C0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66" w:type="pct"/>
          </w:tcPr>
          <w:p w14:paraId="7360B86A" w14:textId="77777777" w:rsidR="005C2B84" w:rsidRDefault="005C2B84" w:rsidP="0048517E">
            <w:pPr>
              <w:pStyle w:val="TableColumnHeading"/>
            </w:pPr>
            <w:r>
              <w:t>Jurisdiction</w:t>
            </w:r>
          </w:p>
        </w:tc>
        <w:tc>
          <w:tcPr>
            <w:tcW w:w="1667" w:type="pct"/>
          </w:tcPr>
          <w:p w14:paraId="608FAAD3" w14:textId="77777777" w:rsidR="005C2B84" w:rsidRDefault="005C2B84" w:rsidP="0048517E">
            <w:pPr>
              <w:pStyle w:val="TableColumnHeading"/>
              <w:cnfStyle w:val="100000000000" w:firstRow="1" w:lastRow="0" w:firstColumn="0" w:lastColumn="0" w:oddVBand="0" w:evenVBand="0" w:oddHBand="0" w:evenHBand="0" w:firstRowFirstColumn="0" w:firstRowLastColumn="0" w:lastRowFirstColumn="0" w:lastRowLastColumn="0"/>
            </w:pPr>
            <w:r>
              <w:t>No. of traineeships</w:t>
            </w:r>
          </w:p>
        </w:tc>
        <w:tc>
          <w:tcPr>
            <w:tcW w:w="1667" w:type="pct"/>
          </w:tcPr>
          <w:p w14:paraId="02994549" w14:textId="77777777" w:rsidR="005C2B84" w:rsidRDefault="005C2B84" w:rsidP="0048517E">
            <w:pPr>
              <w:pStyle w:val="TableColumnHeading"/>
              <w:cnfStyle w:val="100000000000" w:firstRow="1" w:lastRow="0" w:firstColumn="0" w:lastColumn="0" w:oddVBand="0" w:evenVBand="0" w:oddHBand="0" w:evenHBand="0" w:firstRowFirstColumn="0" w:firstRowLastColumn="0" w:lastRowFirstColumn="0" w:lastRowLastColumn="0"/>
            </w:pPr>
            <w:r>
              <w:t>% of traineeships</w:t>
            </w:r>
          </w:p>
        </w:tc>
      </w:tr>
      <w:tr w:rsidR="005C2B84" w14:paraId="03C6429E" w14:textId="77777777" w:rsidTr="00FD7C01">
        <w:tc>
          <w:tcPr>
            <w:cnfStyle w:val="001000000000" w:firstRow="0" w:lastRow="0" w:firstColumn="1" w:lastColumn="0" w:oddVBand="0" w:evenVBand="0" w:oddHBand="0" w:evenHBand="0" w:firstRowFirstColumn="0" w:firstRowLastColumn="0" w:lastRowFirstColumn="0" w:lastRowLastColumn="0"/>
            <w:tcW w:w="1666" w:type="pct"/>
          </w:tcPr>
          <w:p w14:paraId="21F01010" w14:textId="77777777" w:rsidR="005C2B84" w:rsidRPr="00C90683" w:rsidRDefault="005C2B84" w:rsidP="0048517E">
            <w:pPr>
              <w:pStyle w:val="TableCopy"/>
            </w:pPr>
            <w:r w:rsidRPr="00C90683">
              <w:t>NSW</w:t>
            </w:r>
          </w:p>
        </w:tc>
        <w:tc>
          <w:tcPr>
            <w:tcW w:w="1667" w:type="pct"/>
            <w:vAlign w:val="center"/>
          </w:tcPr>
          <w:p w14:paraId="11A50444" w14:textId="77777777" w:rsidR="005C2B84" w:rsidRPr="00C90683" w:rsidRDefault="005C2B84" w:rsidP="007F7F18">
            <w:pPr>
              <w:pStyle w:val="TableCopy"/>
              <w:jc w:val="center"/>
              <w:cnfStyle w:val="000000000000" w:firstRow="0" w:lastRow="0" w:firstColumn="0" w:lastColumn="0" w:oddVBand="0" w:evenVBand="0" w:oddHBand="0" w:evenHBand="0" w:firstRowFirstColumn="0" w:firstRowLastColumn="0" w:lastRowFirstColumn="0" w:lastRowLastColumn="0"/>
            </w:pPr>
            <w:r w:rsidRPr="00C90683">
              <w:t>23</w:t>
            </w:r>
          </w:p>
        </w:tc>
        <w:tc>
          <w:tcPr>
            <w:tcW w:w="1667" w:type="pct"/>
            <w:vAlign w:val="center"/>
          </w:tcPr>
          <w:p w14:paraId="02A15F00" w14:textId="77777777" w:rsidR="005C2B84" w:rsidRPr="00C90683" w:rsidRDefault="005C2B84" w:rsidP="007F7F18">
            <w:pPr>
              <w:pStyle w:val="TableCopy"/>
              <w:jc w:val="center"/>
              <w:cnfStyle w:val="000000000000" w:firstRow="0" w:lastRow="0" w:firstColumn="0" w:lastColumn="0" w:oddVBand="0" w:evenVBand="0" w:oddHBand="0" w:evenHBand="0" w:firstRowFirstColumn="0" w:firstRowLastColumn="0" w:lastRowFirstColumn="0" w:lastRowLastColumn="0"/>
            </w:pPr>
            <w:r w:rsidRPr="00C90683">
              <w:t>48%</w:t>
            </w:r>
          </w:p>
        </w:tc>
      </w:tr>
      <w:tr w:rsidR="005C2B84" w14:paraId="53C14365" w14:textId="77777777" w:rsidTr="00FD7C01">
        <w:tc>
          <w:tcPr>
            <w:cnfStyle w:val="001000000000" w:firstRow="0" w:lastRow="0" w:firstColumn="1" w:lastColumn="0" w:oddVBand="0" w:evenVBand="0" w:oddHBand="0" w:evenHBand="0" w:firstRowFirstColumn="0" w:firstRowLastColumn="0" w:lastRowFirstColumn="0" w:lastRowLastColumn="0"/>
            <w:tcW w:w="1666" w:type="pct"/>
          </w:tcPr>
          <w:p w14:paraId="67F6630B" w14:textId="77777777" w:rsidR="005C2B84" w:rsidRPr="00C90683" w:rsidRDefault="005C2B84" w:rsidP="0048517E">
            <w:pPr>
              <w:pStyle w:val="TableCopy"/>
            </w:pPr>
            <w:r w:rsidRPr="00C90683">
              <w:t>QLD</w:t>
            </w:r>
          </w:p>
        </w:tc>
        <w:tc>
          <w:tcPr>
            <w:tcW w:w="1667" w:type="pct"/>
            <w:vAlign w:val="center"/>
          </w:tcPr>
          <w:p w14:paraId="72427DF1" w14:textId="77777777" w:rsidR="005C2B84" w:rsidRPr="00C90683" w:rsidRDefault="005C2B84" w:rsidP="007F7F18">
            <w:pPr>
              <w:pStyle w:val="TableCopy"/>
              <w:jc w:val="center"/>
              <w:cnfStyle w:val="000000000000" w:firstRow="0" w:lastRow="0" w:firstColumn="0" w:lastColumn="0" w:oddVBand="0" w:evenVBand="0" w:oddHBand="0" w:evenHBand="0" w:firstRowFirstColumn="0" w:firstRowLastColumn="0" w:lastRowFirstColumn="0" w:lastRowLastColumn="0"/>
            </w:pPr>
            <w:r w:rsidRPr="00C90683">
              <w:t>14</w:t>
            </w:r>
          </w:p>
        </w:tc>
        <w:tc>
          <w:tcPr>
            <w:tcW w:w="1667" w:type="pct"/>
            <w:vAlign w:val="center"/>
          </w:tcPr>
          <w:p w14:paraId="7BE6791D" w14:textId="77777777" w:rsidR="005C2B84" w:rsidRPr="00C90683" w:rsidRDefault="005C2B84" w:rsidP="007F7F18">
            <w:pPr>
              <w:pStyle w:val="TableCopy"/>
              <w:jc w:val="center"/>
              <w:cnfStyle w:val="000000000000" w:firstRow="0" w:lastRow="0" w:firstColumn="0" w:lastColumn="0" w:oddVBand="0" w:evenVBand="0" w:oddHBand="0" w:evenHBand="0" w:firstRowFirstColumn="0" w:firstRowLastColumn="0" w:lastRowFirstColumn="0" w:lastRowLastColumn="0"/>
            </w:pPr>
            <w:r w:rsidRPr="00C90683">
              <w:t>29%</w:t>
            </w:r>
          </w:p>
        </w:tc>
      </w:tr>
      <w:tr w:rsidR="005C2B84" w14:paraId="06240849" w14:textId="77777777" w:rsidTr="00FD7C01">
        <w:tc>
          <w:tcPr>
            <w:cnfStyle w:val="001000000000" w:firstRow="0" w:lastRow="0" w:firstColumn="1" w:lastColumn="0" w:oddVBand="0" w:evenVBand="0" w:oddHBand="0" w:evenHBand="0" w:firstRowFirstColumn="0" w:firstRowLastColumn="0" w:lastRowFirstColumn="0" w:lastRowLastColumn="0"/>
            <w:tcW w:w="1666" w:type="pct"/>
          </w:tcPr>
          <w:p w14:paraId="38436F41" w14:textId="77777777" w:rsidR="005C2B84" w:rsidRPr="00C90683" w:rsidRDefault="005C2B84" w:rsidP="0048517E">
            <w:pPr>
              <w:pStyle w:val="TableCopy"/>
            </w:pPr>
            <w:r w:rsidRPr="00C90683">
              <w:t>SA</w:t>
            </w:r>
          </w:p>
        </w:tc>
        <w:tc>
          <w:tcPr>
            <w:tcW w:w="1667" w:type="pct"/>
            <w:vAlign w:val="center"/>
          </w:tcPr>
          <w:p w14:paraId="0E0FEA3B" w14:textId="77777777" w:rsidR="005C2B84" w:rsidRPr="00C90683" w:rsidRDefault="005C2B84" w:rsidP="007F7F18">
            <w:pPr>
              <w:pStyle w:val="TableCopy"/>
              <w:jc w:val="center"/>
              <w:cnfStyle w:val="000000000000" w:firstRow="0" w:lastRow="0" w:firstColumn="0" w:lastColumn="0" w:oddVBand="0" w:evenVBand="0" w:oddHBand="0" w:evenHBand="0" w:firstRowFirstColumn="0" w:firstRowLastColumn="0" w:lastRowFirstColumn="0" w:lastRowLastColumn="0"/>
            </w:pPr>
            <w:r w:rsidRPr="00C90683">
              <w:t>4</w:t>
            </w:r>
          </w:p>
        </w:tc>
        <w:tc>
          <w:tcPr>
            <w:tcW w:w="1667" w:type="pct"/>
            <w:vAlign w:val="center"/>
          </w:tcPr>
          <w:p w14:paraId="13999634" w14:textId="77777777" w:rsidR="005C2B84" w:rsidRDefault="005C2B84" w:rsidP="007F7F18">
            <w:pPr>
              <w:pStyle w:val="TableCopy"/>
              <w:jc w:val="center"/>
              <w:cnfStyle w:val="000000000000" w:firstRow="0" w:lastRow="0" w:firstColumn="0" w:lastColumn="0" w:oddVBand="0" w:evenVBand="0" w:oddHBand="0" w:evenHBand="0" w:firstRowFirstColumn="0" w:firstRowLastColumn="0" w:lastRowFirstColumn="0" w:lastRowLastColumn="0"/>
            </w:pPr>
            <w:r w:rsidRPr="00C90683">
              <w:t>8%</w:t>
            </w:r>
          </w:p>
        </w:tc>
      </w:tr>
      <w:tr w:rsidR="005C2B84" w14:paraId="46E4ED1C" w14:textId="77777777" w:rsidTr="00FD7C01">
        <w:tc>
          <w:tcPr>
            <w:cnfStyle w:val="001000000000" w:firstRow="0" w:lastRow="0" w:firstColumn="1" w:lastColumn="0" w:oddVBand="0" w:evenVBand="0" w:oddHBand="0" w:evenHBand="0" w:firstRowFirstColumn="0" w:firstRowLastColumn="0" w:lastRowFirstColumn="0" w:lastRowLastColumn="0"/>
            <w:tcW w:w="1666" w:type="pct"/>
          </w:tcPr>
          <w:p w14:paraId="2F5E7F42" w14:textId="77777777" w:rsidR="005C2B84" w:rsidRPr="00C90683" w:rsidRDefault="005C2B84" w:rsidP="0048517E">
            <w:pPr>
              <w:pStyle w:val="TableCopy"/>
            </w:pPr>
            <w:r w:rsidRPr="00C90683">
              <w:t>VIC</w:t>
            </w:r>
          </w:p>
        </w:tc>
        <w:tc>
          <w:tcPr>
            <w:tcW w:w="1667" w:type="pct"/>
            <w:vAlign w:val="center"/>
          </w:tcPr>
          <w:p w14:paraId="5744DD4B" w14:textId="77777777" w:rsidR="005C2B84" w:rsidRPr="00C90683" w:rsidRDefault="005C2B84" w:rsidP="007F7F18">
            <w:pPr>
              <w:pStyle w:val="TableCopy"/>
              <w:jc w:val="center"/>
              <w:cnfStyle w:val="000000000000" w:firstRow="0" w:lastRow="0" w:firstColumn="0" w:lastColumn="0" w:oddVBand="0" w:evenVBand="0" w:oddHBand="0" w:evenHBand="0" w:firstRowFirstColumn="0" w:firstRowLastColumn="0" w:lastRowFirstColumn="0" w:lastRowLastColumn="0"/>
            </w:pPr>
            <w:r w:rsidRPr="00C90683">
              <w:t>3</w:t>
            </w:r>
          </w:p>
        </w:tc>
        <w:tc>
          <w:tcPr>
            <w:tcW w:w="1667" w:type="pct"/>
            <w:vAlign w:val="center"/>
          </w:tcPr>
          <w:p w14:paraId="07EA69AE" w14:textId="77777777" w:rsidR="005C2B84" w:rsidRPr="00C90683" w:rsidRDefault="005C2B84" w:rsidP="007F7F18">
            <w:pPr>
              <w:pStyle w:val="TableCopy"/>
              <w:jc w:val="center"/>
              <w:cnfStyle w:val="000000000000" w:firstRow="0" w:lastRow="0" w:firstColumn="0" w:lastColumn="0" w:oddVBand="0" w:evenVBand="0" w:oddHBand="0" w:evenHBand="0" w:firstRowFirstColumn="0" w:firstRowLastColumn="0" w:lastRowFirstColumn="0" w:lastRowLastColumn="0"/>
            </w:pPr>
            <w:r w:rsidRPr="00C90683">
              <w:t>6%</w:t>
            </w:r>
          </w:p>
        </w:tc>
      </w:tr>
      <w:tr w:rsidR="005C2B84" w14:paraId="67FC8578" w14:textId="77777777" w:rsidTr="00FD7C01">
        <w:tc>
          <w:tcPr>
            <w:cnfStyle w:val="001000000000" w:firstRow="0" w:lastRow="0" w:firstColumn="1" w:lastColumn="0" w:oddVBand="0" w:evenVBand="0" w:oddHBand="0" w:evenHBand="0" w:firstRowFirstColumn="0" w:firstRowLastColumn="0" w:lastRowFirstColumn="0" w:lastRowLastColumn="0"/>
            <w:tcW w:w="1666" w:type="pct"/>
          </w:tcPr>
          <w:p w14:paraId="57692E27" w14:textId="77777777" w:rsidR="005C2B84" w:rsidRPr="00C90683" w:rsidRDefault="005C2B84" w:rsidP="0048517E">
            <w:pPr>
              <w:pStyle w:val="TableCopy"/>
            </w:pPr>
            <w:r w:rsidRPr="00C90683">
              <w:t>TAS</w:t>
            </w:r>
          </w:p>
        </w:tc>
        <w:tc>
          <w:tcPr>
            <w:tcW w:w="1667" w:type="pct"/>
            <w:vAlign w:val="center"/>
          </w:tcPr>
          <w:p w14:paraId="791C65FB" w14:textId="77777777" w:rsidR="005C2B84" w:rsidRPr="00C90683" w:rsidRDefault="005C2B84" w:rsidP="007F7F18">
            <w:pPr>
              <w:pStyle w:val="TableCopy"/>
              <w:jc w:val="center"/>
              <w:cnfStyle w:val="000000000000" w:firstRow="0" w:lastRow="0" w:firstColumn="0" w:lastColumn="0" w:oddVBand="0" w:evenVBand="0" w:oddHBand="0" w:evenHBand="0" w:firstRowFirstColumn="0" w:firstRowLastColumn="0" w:lastRowFirstColumn="0" w:lastRowLastColumn="0"/>
            </w:pPr>
            <w:r w:rsidRPr="00C90683">
              <w:t>2</w:t>
            </w:r>
          </w:p>
        </w:tc>
        <w:tc>
          <w:tcPr>
            <w:tcW w:w="1667" w:type="pct"/>
            <w:vAlign w:val="center"/>
          </w:tcPr>
          <w:p w14:paraId="518149E4" w14:textId="77777777" w:rsidR="005C2B84" w:rsidRPr="00C90683" w:rsidRDefault="005C2B84" w:rsidP="007F7F18">
            <w:pPr>
              <w:pStyle w:val="TableCopy"/>
              <w:jc w:val="center"/>
              <w:cnfStyle w:val="000000000000" w:firstRow="0" w:lastRow="0" w:firstColumn="0" w:lastColumn="0" w:oddVBand="0" w:evenVBand="0" w:oddHBand="0" w:evenHBand="0" w:firstRowFirstColumn="0" w:firstRowLastColumn="0" w:lastRowFirstColumn="0" w:lastRowLastColumn="0"/>
            </w:pPr>
            <w:r w:rsidRPr="00C90683">
              <w:t>4%</w:t>
            </w:r>
          </w:p>
        </w:tc>
      </w:tr>
      <w:tr w:rsidR="005C2B84" w14:paraId="409563A4" w14:textId="77777777" w:rsidTr="00FD7C01">
        <w:tc>
          <w:tcPr>
            <w:cnfStyle w:val="001000000000" w:firstRow="0" w:lastRow="0" w:firstColumn="1" w:lastColumn="0" w:oddVBand="0" w:evenVBand="0" w:oddHBand="0" w:evenHBand="0" w:firstRowFirstColumn="0" w:firstRowLastColumn="0" w:lastRowFirstColumn="0" w:lastRowLastColumn="0"/>
            <w:tcW w:w="1666" w:type="pct"/>
          </w:tcPr>
          <w:p w14:paraId="5D993E09" w14:textId="77777777" w:rsidR="005C2B84" w:rsidRPr="00C90683" w:rsidRDefault="005C2B84" w:rsidP="0048517E">
            <w:pPr>
              <w:pStyle w:val="TableCopy"/>
            </w:pPr>
            <w:r w:rsidRPr="00C90683">
              <w:t>NT</w:t>
            </w:r>
          </w:p>
        </w:tc>
        <w:tc>
          <w:tcPr>
            <w:tcW w:w="1667" w:type="pct"/>
            <w:vAlign w:val="center"/>
          </w:tcPr>
          <w:p w14:paraId="5AEDB942" w14:textId="77777777" w:rsidR="005C2B84" w:rsidRPr="00C90683" w:rsidRDefault="005C2B84" w:rsidP="007F7F18">
            <w:pPr>
              <w:pStyle w:val="TableCopy"/>
              <w:jc w:val="center"/>
              <w:cnfStyle w:val="000000000000" w:firstRow="0" w:lastRow="0" w:firstColumn="0" w:lastColumn="0" w:oddVBand="0" w:evenVBand="0" w:oddHBand="0" w:evenHBand="0" w:firstRowFirstColumn="0" w:firstRowLastColumn="0" w:lastRowFirstColumn="0" w:lastRowLastColumn="0"/>
            </w:pPr>
            <w:r w:rsidRPr="00C90683">
              <w:t>1</w:t>
            </w:r>
          </w:p>
        </w:tc>
        <w:tc>
          <w:tcPr>
            <w:tcW w:w="1667" w:type="pct"/>
            <w:vAlign w:val="center"/>
          </w:tcPr>
          <w:p w14:paraId="6CE8F895" w14:textId="77777777" w:rsidR="005C2B84" w:rsidRPr="00C90683" w:rsidRDefault="005C2B84" w:rsidP="007F7F18">
            <w:pPr>
              <w:pStyle w:val="TableCopy"/>
              <w:jc w:val="center"/>
              <w:cnfStyle w:val="000000000000" w:firstRow="0" w:lastRow="0" w:firstColumn="0" w:lastColumn="0" w:oddVBand="0" w:evenVBand="0" w:oddHBand="0" w:evenHBand="0" w:firstRowFirstColumn="0" w:firstRowLastColumn="0" w:lastRowFirstColumn="0" w:lastRowLastColumn="0"/>
            </w:pPr>
            <w:r w:rsidRPr="00C90683">
              <w:t>2%</w:t>
            </w:r>
          </w:p>
        </w:tc>
      </w:tr>
      <w:tr w:rsidR="005C2B84" w14:paraId="2872AC7E" w14:textId="77777777" w:rsidTr="00FD7C01">
        <w:tc>
          <w:tcPr>
            <w:cnfStyle w:val="001000000000" w:firstRow="0" w:lastRow="0" w:firstColumn="1" w:lastColumn="0" w:oddVBand="0" w:evenVBand="0" w:oddHBand="0" w:evenHBand="0" w:firstRowFirstColumn="0" w:firstRowLastColumn="0" w:lastRowFirstColumn="0" w:lastRowLastColumn="0"/>
            <w:tcW w:w="1666" w:type="pct"/>
          </w:tcPr>
          <w:p w14:paraId="3E1C59A1" w14:textId="77777777" w:rsidR="005C2B84" w:rsidRPr="00C90683" w:rsidRDefault="005C2B84" w:rsidP="0048517E">
            <w:pPr>
              <w:pStyle w:val="TableCopy"/>
            </w:pPr>
            <w:r w:rsidRPr="00C90683">
              <w:t>WA</w:t>
            </w:r>
          </w:p>
        </w:tc>
        <w:tc>
          <w:tcPr>
            <w:tcW w:w="1667" w:type="pct"/>
            <w:vAlign w:val="center"/>
          </w:tcPr>
          <w:p w14:paraId="60A7412A" w14:textId="77777777" w:rsidR="005C2B84" w:rsidRPr="00C90683" w:rsidRDefault="005C2B84" w:rsidP="007F7F18">
            <w:pPr>
              <w:pStyle w:val="TableCopy"/>
              <w:jc w:val="center"/>
              <w:cnfStyle w:val="000000000000" w:firstRow="0" w:lastRow="0" w:firstColumn="0" w:lastColumn="0" w:oddVBand="0" w:evenVBand="0" w:oddHBand="0" w:evenHBand="0" w:firstRowFirstColumn="0" w:firstRowLastColumn="0" w:lastRowFirstColumn="0" w:lastRowLastColumn="0"/>
            </w:pPr>
            <w:r w:rsidRPr="00C90683">
              <w:t>1</w:t>
            </w:r>
          </w:p>
        </w:tc>
        <w:tc>
          <w:tcPr>
            <w:tcW w:w="1667" w:type="pct"/>
            <w:vAlign w:val="center"/>
          </w:tcPr>
          <w:p w14:paraId="0B7BD3A2" w14:textId="77777777" w:rsidR="005C2B84" w:rsidRPr="00C90683" w:rsidRDefault="005C2B84" w:rsidP="007F7F18">
            <w:pPr>
              <w:pStyle w:val="TableCopy"/>
              <w:jc w:val="center"/>
              <w:cnfStyle w:val="000000000000" w:firstRow="0" w:lastRow="0" w:firstColumn="0" w:lastColumn="0" w:oddVBand="0" w:evenVBand="0" w:oddHBand="0" w:evenHBand="0" w:firstRowFirstColumn="0" w:firstRowLastColumn="0" w:lastRowFirstColumn="0" w:lastRowLastColumn="0"/>
            </w:pPr>
            <w:r w:rsidRPr="00C90683">
              <w:t>2%</w:t>
            </w:r>
          </w:p>
        </w:tc>
      </w:tr>
      <w:tr w:rsidR="005C2B84" w14:paraId="54F02A41" w14:textId="77777777" w:rsidTr="00FD7C01">
        <w:tc>
          <w:tcPr>
            <w:cnfStyle w:val="001000000000" w:firstRow="0" w:lastRow="0" w:firstColumn="1" w:lastColumn="0" w:oddVBand="0" w:evenVBand="0" w:oddHBand="0" w:evenHBand="0" w:firstRowFirstColumn="0" w:firstRowLastColumn="0" w:lastRowFirstColumn="0" w:lastRowLastColumn="0"/>
            <w:tcW w:w="1666" w:type="pct"/>
          </w:tcPr>
          <w:p w14:paraId="525031EB" w14:textId="77777777" w:rsidR="005C2B84" w:rsidRPr="00C90683" w:rsidRDefault="005C2B84" w:rsidP="0048517E">
            <w:pPr>
              <w:pStyle w:val="TableCopy"/>
            </w:pPr>
            <w:r>
              <w:t>Total</w:t>
            </w:r>
          </w:p>
        </w:tc>
        <w:tc>
          <w:tcPr>
            <w:tcW w:w="1667" w:type="pct"/>
            <w:vAlign w:val="center"/>
          </w:tcPr>
          <w:p w14:paraId="6997DD89" w14:textId="77777777" w:rsidR="005C2B84" w:rsidRPr="00C90683" w:rsidRDefault="005C2B84" w:rsidP="007F7F18">
            <w:pPr>
              <w:pStyle w:val="TableCopy"/>
              <w:jc w:val="center"/>
              <w:cnfStyle w:val="000000000000" w:firstRow="0" w:lastRow="0" w:firstColumn="0" w:lastColumn="0" w:oddVBand="0" w:evenVBand="0" w:oddHBand="0" w:evenHBand="0" w:firstRowFirstColumn="0" w:firstRowLastColumn="0" w:lastRowFirstColumn="0" w:lastRowLastColumn="0"/>
            </w:pPr>
            <w:r>
              <w:t>48</w:t>
            </w:r>
          </w:p>
        </w:tc>
        <w:tc>
          <w:tcPr>
            <w:tcW w:w="1667" w:type="pct"/>
            <w:vAlign w:val="center"/>
          </w:tcPr>
          <w:p w14:paraId="021AB075" w14:textId="77777777" w:rsidR="005C2B84" w:rsidRPr="00C90683" w:rsidRDefault="005C2B84" w:rsidP="007F7F18">
            <w:pPr>
              <w:pStyle w:val="TableCopy"/>
              <w:jc w:val="center"/>
              <w:cnfStyle w:val="000000000000" w:firstRow="0" w:lastRow="0" w:firstColumn="0" w:lastColumn="0" w:oddVBand="0" w:evenVBand="0" w:oddHBand="0" w:evenHBand="0" w:firstRowFirstColumn="0" w:firstRowLastColumn="0" w:lastRowFirstColumn="0" w:lastRowLastColumn="0"/>
            </w:pPr>
            <w:r>
              <w:t>100%</w:t>
            </w:r>
          </w:p>
        </w:tc>
      </w:tr>
    </w:tbl>
    <w:p w14:paraId="1C91F0D6" w14:textId="32E01596" w:rsidR="005C2B84" w:rsidRDefault="005C2B84" w:rsidP="005C2B84">
      <w:pPr>
        <w:pStyle w:val="BodyCopy"/>
      </w:pPr>
      <w:r>
        <w:t xml:space="preserve">Further analysis using 2011 </w:t>
      </w:r>
      <w:r w:rsidR="000575FF">
        <w:t xml:space="preserve">Aboriginal and Torres Strait Islander </w:t>
      </w:r>
      <w:r>
        <w:t xml:space="preserve">population data revealed 92% (n=44) of funded traineeships were undertaken in areas with an </w:t>
      </w:r>
      <w:r>
        <w:lastRenderedPageBreak/>
        <w:t>Aboriginal and Torres Strait Islander population greater than the national average (3% in 2011).</w:t>
      </w:r>
      <w:sdt>
        <w:sdtPr>
          <w:id w:val="-1142651740"/>
          <w:citation/>
        </w:sdtPr>
        <w:sdtContent>
          <w:r>
            <w:fldChar w:fldCharType="begin"/>
          </w:r>
          <w:r>
            <w:instrText xml:space="preserve"> CITATION Aus11 \l 3081 </w:instrText>
          </w:r>
          <w:r>
            <w:fldChar w:fldCharType="separate"/>
          </w:r>
          <w:r w:rsidR="0089011F">
            <w:rPr>
              <w:noProof/>
            </w:rPr>
            <w:t xml:space="preserve"> </w:t>
          </w:r>
          <w:r w:rsidR="0089011F" w:rsidRPr="0089011F">
            <w:rPr>
              <w:noProof/>
            </w:rPr>
            <w:t>[48]</w:t>
          </w:r>
          <w:r>
            <w:fldChar w:fldCharType="end"/>
          </w:r>
        </w:sdtContent>
      </w:sdt>
    </w:p>
    <w:p w14:paraId="25D0F778" w14:textId="22AFF919" w:rsidR="005C2B84" w:rsidRDefault="005C2B84" w:rsidP="005C2B84">
      <w:pPr>
        <w:pStyle w:val="BodyCopy"/>
      </w:pPr>
      <w:r>
        <w:t xml:space="preserve">Available data was not sufficiently detailed to determine whether the number of Aboriginal and Torres Strait Islander pharmacy assistants employed in community pharmacies had increased over the life of the 5CPA. However, survey data from pharmacists participating in the </w:t>
      </w:r>
      <w:r w:rsidR="00EB25C7">
        <w:t xml:space="preserve">Aboriginal and Torres Strait Islander Pharmacy Assistant Traineeship Scheme </w:t>
      </w:r>
      <w:r>
        <w:t xml:space="preserve">shows most (n= 9, 82%) respondents employed one to two Aboriginal and Torres Strait Islander pharmacy assistant trainees under the Scheme. As shown in </w:t>
      </w:r>
      <w:r>
        <w:fldChar w:fldCharType="begin"/>
      </w:r>
      <w:r>
        <w:instrText xml:space="preserve"> REF _Ref485628819 \h </w:instrText>
      </w:r>
      <w:r>
        <w:fldChar w:fldCharType="separate"/>
      </w:r>
      <w:r w:rsidR="00910E65">
        <w:t xml:space="preserve">Figure </w:t>
      </w:r>
      <w:r w:rsidR="00910E65">
        <w:rPr>
          <w:noProof/>
        </w:rPr>
        <w:t>5</w:t>
      </w:r>
      <w:r w:rsidR="00910E65">
        <w:t>.</w:t>
      </w:r>
      <w:r w:rsidR="00910E65">
        <w:rPr>
          <w:noProof/>
        </w:rPr>
        <w:t>2</w:t>
      </w:r>
      <w:r>
        <w:fldChar w:fldCharType="end"/>
      </w:r>
      <w:r>
        <w:t>, 45% (n=5) of pharmacists retained one to two pharmacy assistants beyond their traineeship, 9% (n=1) retained three to four, 9% (n=1) retained five to six and 36% (n=4) did not retain any pharmacy assistants beyond their traineeship.</w:t>
      </w:r>
    </w:p>
    <w:p w14:paraId="5CB27322" w14:textId="62EB47EB" w:rsidR="005C2B84" w:rsidRPr="000D2BE4" w:rsidRDefault="005C2B84" w:rsidP="005C2B84">
      <w:pPr>
        <w:pStyle w:val="Caption"/>
        <w:rPr>
          <w:rStyle w:val="Captionnotbold"/>
        </w:rPr>
      </w:pPr>
      <w:bookmarkStart w:id="89" w:name="_Ref485628819"/>
      <w:r>
        <w:t xml:space="preserve">Figure </w:t>
      </w:r>
      <w:r w:rsidR="00BC6E6C">
        <w:rPr>
          <w:noProof/>
        </w:rPr>
        <w:fldChar w:fldCharType="begin"/>
      </w:r>
      <w:r w:rsidR="00BC6E6C">
        <w:rPr>
          <w:noProof/>
        </w:rPr>
        <w:instrText xml:space="preserve"> STYLEREF 1 \s </w:instrText>
      </w:r>
      <w:r w:rsidR="00BC6E6C">
        <w:rPr>
          <w:noProof/>
        </w:rPr>
        <w:fldChar w:fldCharType="separate"/>
      </w:r>
      <w:r w:rsidR="00910E65">
        <w:rPr>
          <w:noProof/>
        </w:rPr>
        <w:t>5</w:t>
      </w:r>
      <w:r w:rsidR="00BC6E6C">
        <w:rPr>
          <w:noProof/>
        </w:rPr>
        <w:fldChar w:fldCharType="end"/>
      </w:r>
      <w:r w:rsidR="00181D4C">
        <w:t>.</w:t>
      </w:r>
      <w:r w:rsidR="00BC6E6C">
        <w:rPr>
          <w:noProof/>
        </w:rPr>
        <w:fldChar w:fldCharType="begin"/>
      </w:r>
      <w:r w:rsidR="00BC6E6C">
        <w:rPr>
          <w:noProof/>
        </w:rPr>
        <w:instrText xml:space="preserve"> SEQ Figure \* ARABIC \s 1 </w:instrText>
      </w:r>
      <w:r w:rsidR="00BC6E6C">
        <w:rPr>
          <w:noProof/>
        </w:rPr>
        <w:fldChar w:fldCharType="separate"/>
      </w:r>
      <w:r w:rsidR="00910E65">
        <w:rPr>
          <w:noProof/>
        </w:rPr>
        <w:t>2</w:t>
      </w:r>
      <w:r w:rsidR="00BC6E6C">
        <w:rPr>
          <w:noProof/>
        </w:rPr>
        <w:fldChar w:fldCharType="end"/>
      </w:r>
      <w:bookmarkEnd w:id="89"/>
      <w:r>
        <w:t xml:space="preserve">: </w:t>
      </w:r>
      <w:r>
        <w:rPr>
          <w:rStyle w:val="Captionnotbold"/>
        </w:rPr>
        <w:t>Number of pharmacy assistant trainees employed and later retained by pharmacists</w:t>
      </w:r>
    </w:p>
    <w:p w14:paraId="44F7D690" w14:textId="77777777" w:rsidR="005C2B84" w:rsidRDefault="005C2B84" w:rsidP="005C2B84">
      <w:pPr>
        <w:pStyle w:val="BodyCopy"/>
        <w:jc w:val="center"/>
      </w:pPr>
      <w:r>
        <w:rPr>
          <w:noProof/>
          <w:lang w:eastAsia="en-AU"/>
        </w:rPr>
        <w:drawing>
          <wp:inline distT="0" distB="0" distL="0" distR="0" wp14:anchorId="11F4D197" wp14:editId="50817BD6">
            <wp:extent cx="4486910" cy="2694940"/>
            <wp:effectExtent l="0" t="0" r="8890" b="0"/>
            <wp:docPr id="100" name="Picture 100" descr="Figure 5.2 Bar graph showing number of pharmacy assistant trainees employed and later retained by pharmaci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86910" cy="2694940"/>
                    </a:xfrm>
                    <a:prstGeom prst="rect">
                      <a:avLst/>
                    </a:prstGeom>
                    <a:noFill/>
                  </pic:spPr>
                </pic:pic>
              </a:graphicData>
            </a:graphic>
          </wp:inline>
        </w:drawing>
      </w:r>
    </w:p>
    <w:p w14:paraId="72EF2BC6" w14:textId="77777777" w:rsidR="005C2B84" w:rsidRPr="00C307D1" w:rsidRDefault="005C2B84" w:rsidP="005C2B84">
      <w:pPr>
        <w:pStyle w:val="BodyCopy"/>
      </w:pPr>
      <w:r>
        <w:t xml:space="preserve">Most surveyed pharmacists (n=13, 82%) and trainees (n=6, 83%) who participated in the Scheme agreed that the Scheme was effective in encouraging Aboriginal and Torres Strait Islander people to enter a career in pharmacy. </w:t>
      </w:r>
    </w:p>
    <w:p w14:paraId="5C6F467C" w14:textId="0C4B776C" w:rsidR="005C2B84" w:rsidRDefault="005C2B84" w:rsidP="0033487B">
      <w:pPr>
        <w:pStyle w:val="Effectiveness"/>
      </w:pPr>
      <w:r>
        <w:t xml:space="preserve">Available data was not sufficiently detailed to determine whether the </w:t>
      </w:r>
      <w:r w:rsidR="00EB25C7">
        <w:t xml:space="preserve">Aboriginal and Torres Strait Islander Pharmacy Assistant Traineeship Scheme </w:t>
      </w:r>
      <w:r>
        <w:t>led to an increase in the number of Aboriginal and Torres Strait Islander pharmacy assistants over the life of the 5CPA. However, program participants agreed the Scheme was effective in encouraging Aboriginal and Torres Strait Islander people to enter a career in pharmacy.</w:t>
      </w:r>
    </w:p>
    <w:p w14:paraId="33EFF11E" w14:textId="77777777" w:rsidR="005C2B84" w:rsidRPr="000B4EDE" w:rsidRDefault="005C2B84" w:rsidP="005C2B84">
      <w:pPr>
        <w:pStyle w:val="Heading4"/>
      </w:pPr>
      <w:r w:rsidRPr="000B4EDE">
        <w:t>Efficiency</w:t>
      </w:r>
    </w:p>
    <w:p w14:paraId="1701DF39" w14:textId="649E5FAB" w:rsidR="005C2B84" w:rsidRPr="001F41A0" w:rsidRDefault="005C2B84" w:rsidP="005C2B84">
      <w:pPr>
        <w:pStyle w:val="BodyCopy"/>
      </w:pPr>
      <w:r w:rsidRPr="001F41A0">
        <w:t xml:space="preserve">The average annual cost of the </w:t>
      </w:r>
      <w:r w:rsidR="00EB25C7">
        <w:t xml:space="preserve">Aboriginal and Torres Strait Islander Pharmacy Assistant Traineeship Scheme </w:t>
      </w:r>
      <w:r w:rsidRPr="001F41A0">
        <w:t xml:space="preserve">was estimated at </w:t>
      </w:r>
      <w:r>
        <w:rPr>
          <w:rFonts w:ascii="Times New Roman" w:hAnsi="Times New Roman"/>
        </w:rPr>
        <w:t>$</w:t>
      </w:r>
      <w:r w:rsidRPr="001F41A0">
        <w:t>177,972.79 (based on the two financial years for which data was available</w:t>
      </w:r>
      <w:r w:rsidRPr="001F41A0">
        <w:rPr>
          <w:rFonts w:ascii="Times New Roman" w:hAnsi="Times New Roman"/>
        </w:rPr>
        <w:t xml:space="preserve"> $</w:t>
      </w:r>
      <w:r>
        <w:rPr>
          <w:rFonts w:ascii="Times New Roman" w:hAnsi="Times New Roman"/>
        </w:rPr>
        <w:t xml:space="preserve">234,669 </w:t>
      </w:r>
      <w:r w:rsidRPr="001F41A0">
        <w:t>in 2013</w:t>
      </w:r>
      <w:r w:rsidR="007D6D4A">
        <w:t>–</w:t>
      </w:r>
      <w:r w:rsidRPr="001F41A0">
        <w:t xml:space="preserve">14 and </w:t>
      </w:r>
      <w:r w:rsidRPr="001F41A0">
        <w:rPr>
          <w:rFonts w:ascii="Times New Roman" w:hAnsi="Times New Roman"/>
        </w:rPr>
        <w:t>$</w:t>
      </w:r>
      <w:r>
        <w:rPr>
          <w:rFonts w:ascii="Times New Roman" w:hAnsi="Times New Roman"/>
        </w:rPr>
        <w:t>121,276</w:t>
      </w:r>
      <w:r>
        <w:rPr>
          <w:rFonts w:ascii="Garamond" w:eastAsia="Times New Roman" w:hAnsi="Garamond"/>
          <w:color w:val="000000"/>
          <w:spacing w:val="0"/>
          <w:szCs w:val="22"/>
          <w:lang w:eastAsia="en-AU"/>
        </w:rPr>
        <w:t xml:space="preserve"> </w:t>
      </w:r>
      <w:r w:rsidRPr="001F41A0">
        <w:t>in 2014</w:t>
      </w:r>
      <w:r w:rsidR="007D6D4A">
        <w:t>–</w:t>
      </w:r>
      <w:r w:rsidRPr="001F41A0">
        <w:t xml:space="preserve">15). This equates to an average unit cost of </w:t>
      </w:r>
      <w:r w:rsidRPr="001F41A0">
        <w:rPr>
          <w:rFonts w:ascii="Times New Roman" w:hAnsi="Times New Roman"/>
        </w:rPr>
        <w:t>$</w:t>
      </w:r>
      <w:r>
        <w:rPr>
          <w:rFonts w:ascii="Times New Roman" w:hAnsi="Times New Roman"/>
        </w:rPr>
        <w:t xml:space="preserve">14,098 </w:t>
      </w:r>
      <w:r w:rsidRPr="001F41A0">
        <w:t xml:space="preserve">per </w:t>
      </w:r>
      <w:r>
        <w:t>traineeship</w:t>
      </w:r>
      <w:r w:rsidRPr="001F41A0">
        <w:t xml:space="preserve">. </w:t>
      </w:r>
    </w:p>
    <w:p w14:paraId="3DDD4095" w14:textId="2AC91FBA" w:rsidR="005C2B84" w:rsidRPr="001F41A0" w:rsidRDefault="005C2B84" w:rsidP="005C2B84">
      <w:pPr>
        <w:pStyle w:val="BodyCopy"/>
      </w:pPr>
      <w:r w:rsidRPr="001F41A0">
        <w:t xml:space="preserve">The administrative component for the </w:t>
      </w:r>
      <w:r w:rsidR="00EB25C7">
        <w:t xml:space="preserve">Aboriginal and Torres Strait Islander Pharmacy Assistant Traineeship Scheme </w:t>
      </w:r>
      <w:r>
        <w:t>is within the acceptable range</w:t>
      </w:r>
      <w:r w:rsidRPr="001F41A0">
        <w:t xml:space="preserve">, estimated at </w:t>
      </w:r>
      <w:r>
        <w:t>29</w:t>
      </w:r>
      <w:r w:rsidRPr="001F41A0">
        <w:t xml:space="preserve">% of the unit cost. </w:t>
      </w:r>
    </w:p>
    <w:p w14:paraId="6C037AC7" w14:textId="77777777" w:rsidR="005C2B84" w:rsidRPr="001F41A0" w:rsidRDefault="005C2B84" w:rsidP="0033487B">
      <w:pPr>
        <w:pStyle w:val="Efficiency"/>
      </w:pPr>
      <w:r w:rsidRPr="001F41A0">
        <w:t xml:space="preserve">A single unit cost per </w:t>
      </w:r>
      <w:r>
        <w:t>traineeship</w:t>
      </w:r>
      <w:r w:rsidRPr="001F41A0">
        <w:t xml:space="preserve"> recipient was estimated at </w:t>
      </w:r>
      <w:r w:rsidRPr="001F41A0">
        <w:rPr>
          <w:rFonts w:ascii="Times New Roman" w:hAnsi="Times New Roman"/>
        </w:rPr>
        <w:t>$</w:t>
      </w:r>
      <w:r>
        <w:t>14,098 comprising 29</w:t>
      </w:r>
      <w:r w:rsidRPr="001F41A0">
        <w:t xml:space="preserve">% administration overhead costs. This was considered </w:t>
      </w:r>
      <w:r>
        <w:t>within</w:t>
      </w:r>
      <w:r w:rsidRPr="001F41A0">
        <w:t xml:space="preserve"> the acceptable range for administration overheads. However, further investigation is required to assess actual time spent administering the program.</w:t>
      </w:r>
    </w:p>
    <w:p w14:paraId="5C8A1EA6" w14:textId="77777777" w:rsidR="005C2B84" w:rsidRDefault="005C2B84" w:rsidP="005C2B84">
      <w:pPr>
        <w:pStyle w:val="Heading4"/>
      </w:pPr>
      <w:r>
        <w:t>Options for improving program operation</w:t>
      </w:r>
    </w:p>
    <w:p w14:paraId="39C6B7F9" w14:textId="00D2FF09" w:rsidR="005C2B84" w:rsidRDefault="007D6D4A" w:rsidP="005C2B84">
      <w:pPr>
        <w:pStyle w:val="BodyCopy"/>
      </w:pPr>
      <w:r>
        <w:t xml:space="preserve">The peak </w:t>
      </w:r>
      <w:r w:rsidR="005C2B84">
        <w:t xml:space="preserve">body stakeholders and trainees consulted mentioned the need to promote the program to boost employment of pharmacy assistants. One stakeholder suggested reviewing the funding to offer a larger incentive to pharmacists to take on an assistant trainee. Trainees suggested increasing awareness of the Scheme and its </w:t>
      </w:r>
      <w:r w:rsidR="005C2B84">
        <w:lastRenderedPageBreak/>
        <w:t>benefits</w:t>
      </w:r>
      <w:r>
        <w:t>,</w:t>
      </w:r>
      <w:r w:rsidR="005C2B84">
        <w:t xml:space="preserve"> in particular, marketing the program to schools in </w:t>
      </w:r>
      <w:r w:rsidR="000575FF">
        <w:t xml:space="preserve">Aboriginal and Torres Strait Islander </w:t>
      </w:r>
      <w:r w:rsidR="005C2B84">
        <w:t>communities.</w:t>
      </w:r>
    </w:p>
    <w:p w14:paraId="178C93FE" w14:textId="293AE9F6" w:rsidR="005C2B84" w:rsidRPr="00131C04" w:rsidRDefault="005C2B84" w:rsidP="005C2B84">
      <w:pPr>
        <w:pStyle w:val="BodyCopy"/>
      </w:pPr>
      <w:r>
        <w:t xml:space="preserve">Two stakeholders suggested trainees would benefit from a support person or mentor to assist during their studies. </w:t>
      </w:r>
      <w:r w:rsidR="0008102A">
        <w:t xml:space="preserve">HMA considers this to be an important inclusion, as the literature supports the efficacy of mentorship for Aboriginal and Torres Strait Islander students. </w:t>
      </w:r>
    </w:p>
    <w:p w14:paraId="07162429" w14:textId="77777777" w:rsidR="005C2B84" w:rsidRPr="000B4EDE" w:rsidRDefault="005C2B84" w:rsidP="005C2B84">
      <w:pPr>
        <w:pStyle w:val="Heading2"/>
      </w:pPr>
      <w:bookmarkStart w:id="90" w:name="_Toc523318829"/>
      <w:r w:rsidRPr="000B4EDE">
        <w:t>Aboriginal and Torres Strait Islander Pharmacy Scholarship Scheme</w:t>
      </w:r>
      <w:bookmarkEnd w:id="90"/>
    </w:p>
    <w:p w14:paraId="7775E4CD" w14:textId="333258D5" w:rsidR="005C2B84" w:rsidRPr="000B4EDE" w:rsidRDefault="005C2B84" w:rsidP="005C2B84">
      <w:pPr>
        <w:pStyle w:val="Heading3"/>
      </w:pPr>
      <w:bookmarkStart w:id="91" w:name="_Toc523318830"/>
      <w:r w:rsidRPr="000B4EDE">
        <w:t>Context</w:t>
      </w:r>
      <w:bookmarkEnd w:id="91"/>
    </w:p>
    <w:p w14:paraId="00D77740" w14:textId="77777777" w:rsidR="005C2B84" w:rsidRDefault="005C2B84" w:rsidP="005C2B84">
      <w:pPr>
        <w:pStyle w:val="Heading4"/>
      </w:pPr>
      <w:r>
        <w:t xml:space="preserve">Target population </w:t>
      </w:r>
    </w:p>
    <w:p w14:paraId="65067F94" w14:textId="398EB54A" w:rsidR="005C2B84" w:rsidRPr="00FA0F18" w:rsidRDefault="005C2B84" w:rsidP="005C2B84">
      <w:pPr>
        <w:pStyle w:val="BodyCopy"/>
      </w:pPr>
      <w:r>
        <w:t>The Aboriginal and Torres Strait Islander Pharmacy Scholarship Scheme) supports Aboriginal and Torres Islander people studying a degree at an Australian university that leads directly to a registrable qualification as a pharmacist.</w:t>
      </w:r>
      <w:sdt>
        <w:sdtPr>
          <w:id w:val="960775844"/>
          <w:citation/>
        </w:sdtPr>
        <w:sdtContent>
          <w:r>
            <w:fldChar w:fldCharType="begin"/>
          </w:r>
          <w:r>
            <w:instrText xml:space="preserve"> CITATION The158 \l 3081 </w:instrText>
          </w:r>
          <w:r>
            <w:fldChar w:fldCharType="separate"/>
          </w:r>
          <w:r w:rsidR="0089011F">
            <w:rPr>
              <w:noProof/>
            </w:rPr>
            <w:t xml:space="preserve"> </w:t>
          </w:r>
          <w:r w:rsidR="0089011F" w:rsidRPr="0089011F">
            <w:rPr>
              <w:noProof/>
            </w:rPr>
            <w:t>[49]</w:t>
          </w:r>
          <w:r>
            <w:fldChar w:fldCharType="end"/>
          </w:r>
        </w:sdtContent>
      </w:sdt>
      <w:r>
        <w:t xml:space="preserve"> It is not necessary for eligible students to reside </w:t>
      </w:r>
      <w:r w:rsidR="007D6D4A">
        <w:t xml:space="preserve">in </w:t>
      </w:r>
      <w:r>
        <w:t xml:space="preserve">rural or remote areas. </w:t>
      </w:r>
    </w:p>
    <w:p w14:paraId="45594CD9" w14:textId="5AA91C8B" w:rsidR="005C2B84" w:rsidRPr="000B4EDE" w:rsidRDefault="005C2B84" w:rsidP="005C2B84">
      <w:pPr>
        <w:pStyle w:val="Heading4"/>
      </w:pPr>
      <w:r w:rsidRPr="000B4EDE">
        <w:t xml:space="preserve">Program </w:t>
      </w:r>
      <w:r w:rsidR="00667940">
        <w:t>aim</w:t>
      </w:r>
    </w:p>
    <w:p w14:paraId="0DE5FE59" w14:textId="62498AAA" w:rsidR="005C2B84" w:rsidRPr="000B4EDE" w:rsidRDefault="005C2B84" w:rsidP="005C2B84">
      <w:pPr>
        <w:pStyle w:val="BodyCopy"/>
      </w:pPr>
      <w:r w:rsidRPr="000B4EDE">
        <w:t xml:space="preserve">The aim of the </w:t>
      </w:r>
      <w:r w:rsidR="00EB25C7">
        <w:t>Aboriginal and Torres Strait Islander Pharmacy Scholarship Scheme</w:t>
      </w:r>
      <w:r w:rsidR="00EB25C7" w:rsidDel="00EB25C7">
        <w:t xml:space="preserve"> </w:t>
      </w:r>
      <w:r w:rsidRPr="000B4EDE">
        <w:t>is to increase the number of Aboriginal and Torres Strait Islander pharmacists working in community pharmacies, thereby assisting in meeting the needs of their communities.</w:t>
      </w:r>
    </w:p>
    <w:p w14:paraId="4B5B43D2" w14:textId="3A597992" w:rsidR="005C2B84" w:rsidRPr="000B4EDE" w:rsidRDefault="005C2B84" w:rsidP="005C2B84">
      <w:pPr>
        <w:pStyle w:val="BodyCopy"/>
      </w:pPr>
      <w:r w:rsidRPr="000B4EDE">
        <w:t xml:space="preserve">The </w:t>
      </w:r>
      <w:r w:rsidR="00667940">
        <w:t>aims</w:t>
      </w:r>
      <w:r w:rsidR="00667940" w:rsidRPr="000B4EDE">
        <w:t xml:space="preserve"> </w:t>
      </w:r>
      <w:r w:rsidRPr="000B4EDE">
        <w:t>of the Scholarship Scheme are:</w:t>
      </w:r>
    </w:p>
    <w:p w14:paraId="07459E91" w14:textId="77777777" w:rsidR="005C2B84" w:rsidRPr="000B4EDE" w:rsidRDefault="005C2B84" w:rsidP="005C2B84">
      <w:pPr>
        <w:pStyle w:val="Bullets1"/>
      </w:pPr>
      <w:r w:rsidRPr="000B4EDE">
        <w:t>to encourage and enable Aboriginal and Torres Strait Islander students to undertake undergraduate and graduate studies at an Australian university leading to a registrable qualification as a pharmacist</w:t>
      </w:r>
      <w:r>
        <w:t>,</w:t>
      </w:r>
      <w:r w:rsidRPr="000B4EDE">
        <w:t xml:space="preserve"> and</w:t>
      </w:r>
    </w:p>
    <w:p w14:paraId="14E0DAE6" w14:textId="77777777" w:rsidR="005C2B84" w:rsidRPr="000B4EDE" w:rsidRDefault="005C2B84" w:rsidP="005C2B84">
      <w:pPr>
        <w:pStyle w:val="Bullets1"/>
      </w:pPr>
      <w:r w:rsidRPr="000B4EDE">
        <w:t>to increase the number of Aboriginal and Torres Strait Islander pharmacists, particularly in rural and remote practice, through offering appropriate incentives and enhancing the attractions of pharmacy practice.</w:t>
      </w:r>
    </w:p>
    <w:p w14:paraId="113A6234" w14:textId="6CC8D513" w:rsidR="005C2B84" w:rsidRPr="000B4EDE" w:rsidRDefault="005C2B84" w:rsidP="005C2B84">
      <w:pPr>
        <w:pStyle w:val="BodyCopy"/>
      </w:pPr>
      <w:r>
        <w:t xml:space="preserve">According to the objectives </w:t>
      </w:r>
      <w:r w:rsidR="005F7628">
        <w:t xml:space="preserve">initially </w:t>
      </w:r>
      <w:r w:rsidRPr="005F7628">
        <w:t>set out in the 3CPA, it</w:t>
      </w:r>
      <w:r>
        <w:t xml:space="preserve"> wa</w:t>
      </w:r>
      <w:r w:rsidRPr="000B4EDE">
        <w:t>s anticipated that the resulting Program outcomes will be:</w:t>
      </w:r>
    </w:p>
    <w:p w14:paraId="07D624A9" w14:textId="77777777" w:rsidR="005C2B84" w:rsidRPr="000B4EDE" w:rsidRDefault="005C2B84" w:rsidP="005C2B84">
      <w:pPr>
        <w:pStyle w:val="Bullets1"/>
      </w:pPr>
      <w:r w:rsidRPr="000B4EDE">
        <w:t>an increase in the number of practising Aboriginal and Torres Strait Islander pharmacists</w:t>
      </w:r>
      <w:r>
        <w:t>,</w:t>
      </w:r>
      <w:r w:rsidRPr="000B4EDE">
        <w:t xml:space="preserve"> and</w:t>
      </w:r>
    </w:p>
    <w:p w14:paraId="3D490A9C" w14:textId="77777777" w:rsidR="005C2B84" w:rsidRPr="000B4EDE" w:rsidRDefault="005C2B84" w:rsidP="005C2B84">
      <w:pPr>
        <w:pStyle w:val="Bullets1"/>
      </w:pPr>
      <w:r w:rsidRPr="000B4EDE">
        <w:t>an increase in the number of Aboriginal and Torres Strait Islander communities with access to culturally appropriate pharmacy services.</w:t>
      </w:r>
    </w:p>
    <w:p w14:paraId="3628EAC0" w14:textId="77777777" w:rsidR="005C2B84" w:rsidRPr="000B4EDE" w:rsidRDefault="005C2B84" w:rsidP="005C2B84">
      <w:pPr>
        <w:pStyle w:val="Heading4"/>
      </w:pPr>
      <w:r w:rsidRPr="000B4EDE">
        <w:t>Program delivery method</w:t>
      </w:r>
    </w:p>
    <w:p w14:paraId="5AC286B0" w14:textId="15999967" w:rsidR="005C2B84" w:rsidRPr="00586C26" w:rsidRDefault="005C2B84" w:rsidP="005C2B84">
      <w:pPr>
        <w:pStyle w:val="BodyCopy"/>
      </w:pPr>
      <w:r>
        <w:t xml:space="preserve">The </w:t>
      </w:r>
      <w:r w:rsidR="00EB25C7">
        <w:t>Aboriginal and Torres Strait Islander Pharmacy Scholarship Scheme</w:t>
      </w:r>
      <w:r w:rsidR="00EB25C7" w:rsidDel="00EB25C7">
        <w:t xml:space="preserve"> </w:t>
      </w:r>
      <w:r>
        <w:t>provides financial support in the form of scholarships to Aboriginal and Torres Strait Islander pharmacy students.</w:t>
      </w:r>
      <w:sdt>
        <w:sdtPr>
          <w:id w:val="1667829029"/>
          <w:citation/>
        </w:sdtPr>
        <w:sdtContent>
          <w:r>
            <w:fldChar w:fldCharType="begin"/>
          </w:r>
          <w:r>
            <w:instrText xml:space="preserve"> CITATION The158 \l 3081 </w:instrText>
          </w:r>
          <w:r>
            <w:fldChar w:fldCharType="separate"/>
          </w:r>
          <w:r w:rsidR="0089011F">
            <w:rPr>
              <w:noProof/>
            </w:rPr>
            <w:t xml:space="preserve"> </w:t>
          </w:r>
          <w:r w:rsidR="0089011F" w:rsidRPr="0089011F">
            <w:rPr>
              <w:noProof/>
            </w:rPr>
            <w:t>[49]</w:t>
          </w:r>
          <w:r>
            <w:fldChar w:fldCharType="end"/>
          </w:r>
        </w:sdtContent>
      </w:sdt>
      <w:r>
        <w:t xml:space="preserve"> Scholarships have a value of </w:t>
      </w:r>
      <w:r>
        <w:rPr>
          <w:rFonts w:ascii="Times New Roman" w:hAnsi="Times New Roman"/>
        </w:rPr>
        <w:t>$</w:t>
      </w:r>
      <w:r>
        <w:t xml:space="preserve">15,000 (GST exempt) per calendar year, per student. Students may apply for the scholarship at any point during their studies, with a maximum value of </w:t>
      </w:r>
      <w:r>
        <w:rPr>
          <w:rFonts w:ascii="Times New Roman" w:hAnsi="Times New Roman"/>
        </w:rPr>
        <w:t>$</w:t>
      </w:r>
      <w:r>
        <w:t xml:space="preserve">60,000 over four years. </w:t>
      </w:r>
    </w:p>
    <w:p w14:paraId="73B5FDF4" w14:textId="77777777" w:rsidR="005C2B84" w:rsidRPr="000B4EDE" w:rsidRDefault="005C2B84" w:rsidP="005C2B84">
      <w:pPr>
        <w:pStyle w:val="Heading4"/>
      </w:pPr>
      <w:r w:rsidRPr="000B4EDE">
        <w:t>Program volumes</w:t>
      </w:r>
    </w:p>
    <w:p w14:paraId="27DC68B0" w14:textId="2F93B098" w:rsidR="005C2B84" w:rsidRPr="000B4EDE" w:rsidRDefault="005C2B84" w:rsidP="005C2B84">
      <w:pPr>
        <w:pStyle w:val="BodyCopy"/>
      </w:pPr>
      <w:r>
        <w:t>Three new scholarships are awarded each year. Program data from 2014</w:t>
      </w:r>
      <w:r w:rsidR="00950490">
        <w:t>–</w:t>
      </w:r>
      <w:r>
        <w:t xml:space="preserve">2016 indicates </w:t>
      </w:r>
      <w:r w:rsidR="00950490">
        <w:t xml:space="preserve">that, </w:t>
      </w:r>
      <w:r>
        <w:t>on average, seven scholarships are funded each calendar year, which includes both new and continuing scholarships.</w:t>
      </w:r>
      <w:sdt>
        <w:sdtPr>
          <w:id w:val="-727457748"/>
          <w:citation/>
        </w:sdtPr>
        <w:sdtContent>
          <w:r>
            <w:fldChar w:fldCharType="begin"/>
          </w:r>
          <w:r>
            <w:instrText xml:space="preserve"> CITATION The169 \l 3081 </w:instrText>
          </w:r>
          <w:r>
            <w:fldChar w:fldCharType="separate"/>
          </w:r>
          <w:r w:rsidR="0089011F">
            <w:rPr>
              <w:noProof/>
            </w:rPr>
            <w:t xml:space="preserve"> </w:t>
          </w:r>
          <w:r w:rsidR="0089011F" w:rsidRPr="0089011F">
            <w:rPr>
              <w:noProof/>
            </w:rPr>
            <w:t>[50]</w:t>
          </w:r>
          <w:r>
            <w:fldChar w:fldCharType="end"/>
          </w:r>
        </w:sdtContent>
      </w:sdt>
      <w:r>
        <w:t xml:space="preserve"> From 2011/12 to 2014/15, 25 scholarships have been awarded.</w:t>
      </w:r>
    </w:p>
    <w:p w14:paraId="4DA8E2E8" w14:textId="77777777" w:rsidR="005C2B84" w:rsidRPr="000B4EDE" w:rsidRDefault="005C2B84" w:rsidP="005C2B84">
      <w:pPr>
        <w:pStyle w:val="Heading3"/>
      </w:pPr>
      <w:bookmarkStart w:id="92" w:name="_Toc523318831"/>
      <w:r w:rsidRPr="000B4EDE">
        <w:t>Evaluation findings</w:t>
      </w:r>
      <w:bookmarkEnd w:id="92"/>
    </w:p>
    <w:p w14:paraId="6315B63F" w14:textId="77777777" w:rsidR="005C2B84" w:rsidRPr="000B4EDE" w:rsidRDefault="005C2B84" w:rsidP="005C2B84">
      <w:pPr>
        <w:pStyle w:val="Heading4"/>
      </w:pPr>
      <w:r w:rsidRPr="000B4EDE">
        <w:t>Appropriateness</w:t>
      </w:r>
    </w:p>
    <w:p w14:paraId="52FD722A" w14:textId="50D6554E" w:rsidR="005C2B84" w:rsidRDefault="005C2B84" w:rsidP="005C2B84">
      <w:pPr>
        <w:pStyle w:val="BodyCopy"/>
      </w:pPr>
      <w:r>
        <w:t xml:space="preserve">The literature scan identified limited research on the impact of scholarships on Aboriginal and Torres Strait Islander students. </w:t>
      </w:r>
      <w:r w:rsidRPr="00CC1008">
        <w:t>One study conducted interviews with 22 Aboriginal and Torres Strait Islander nursing students and identified scholarships as an important factor impacting students’ ability to attend university.</w:t>
      </w:r>
      <w:r w:rsidR="00457C0C">
        <w:t xml:space="preserve"> A rapid search of the literature (using search terms including ‘Aboriginal’ OR ‘Aboriginal and Torres Strait Islander’ OR ‘Indigenous’ AND ‘Australia’ AND ‘scholarship’ AND ‘tertiary’ AND ‘retention’) only identified articles which were descriptive in nature, not</w:t>
      </w:r>
      <w:r w:rsidRPr="00CC1008">
        <w:t xml:space="preserve"> </w:t>
      </w:r>
      <w:r w:rsidR="00457C0C">
        <w:t xml:space="preserve">intervention trials. </w:t>
      </w:r>
      <w:r w:rsidR="0058083C">
        <w:t xml:space="preserve">Other articles have reflected the lack of peer-reviewed research into the effectiveness of scholarships for Aboriginal and Torres Strait </w:t>
      </w:r>
      <w:r w:rsidR="0058083C">
        <w:lastRenderedPageBreak/>
        <w:t xml:space="preserve">Islander tertiary students. </w:t>
      </w:r>
      <w:sdt>
        <w:sdtPr>
          <w:id w:val="-935901334"/>
          <w:citation/>
        </w:sdtPr>
        <w:sdtContent>
          <w:r w:rsidR="0058083C">
            <w:fldChar w:fldCharType="begin"/>
          </w:r>
          <w:r w:rsidR="0058083C">
            <w:instrText xml:space="preserve"> CITATION Dev09 \l 3081 </w:instrText>
          </w:r>
          <w:r w:rsidR="0058083C">
            <w:fldChar w:fldCharType="separate"/>
          </w:r>
          <w:r w:rsidR="0089011F" w:rsidRPr="0089011F">
            <w:rPr>
              <w:noProof/>
            </w:rPr>
            <w:t>[51]</w:t>
          </w:r>
          <w:r w:rsidR="0058083C">
            <w:fldChar w:fldCharType="end"/>
          </w:r>
        </w:sdtContent>
      </w:sdt>
      <w:r w:rsidR="0058083C">
        <w:t xml:space="preserve"> However, several other scholarship schemes targeting Aboriginal and Torres Strait Islander students have been made available including </w:t>
      </w:r>
      <w:r w:rsidR="00457C0C">
        <w:t xml:space="preserve">the Puggy Hunter Memorial Scholarship Scheme, </w:t>
      </w:r>
      <w:sdt>
        <w:sdtPr>
          <w:id w:val="-2119747170"/>
          <w:citation/>
        </w:sdtPr>
        <w:sdtContent>
          <w:r w:rsidR="00457C0C">
            <w:fldChar w:fldCharType="begin"/>
          </w:r>
          <w:r w:rsidR="00457C0C">
            <w:instrText xml:space="preserve"> CITATION Aus1623 \l 3081 </w:instrText>
          </w:r>
          <w:r w:rsidR="00457C0C">
            <w:fldChar w:fldCharType="separate"/>
          </w:r>
          <w:r w:rsidR="0089011F" w:rsidRPr="0089011F">
            <w:rPr>
              <w:noProof/>
            </w:rPr>
            <w:t>[52]</w:t>
          </w:r>
          <w:r w:rsidR="00457C0C">
            <w:fldChar w:fldCharType="end"/>
          </w:r>
        </w:sdtContent>
      </w:sdt>
      <w:r w:rsidR="00457C0C">
        <w:t xml:space="preserve"> the Australian Rotary Health Indigenous Health Scholarships Program, </w:t>
      </w:r>
      <w:sdt>
        <w:sdtPr>
          <w:id w:val="1231811259"/>
          <w:citation/>
        </w:sdtPr>
        <w:sdtContent>
          <w:r w:rsidR="00457C0C" w:rsidRPr="00A20E58">
            <w:fldChar w:fldCharType="begin"/>
          </w:r>
          <w:r w:rsidR="00457C0C" w:rsidRPr="00A20E58">
            <w:instrText xml:space="preserve"> CITATION The16 \l 3081 </w:instrText>
          </w:r>
          <w:r w:rsidR="00457C0C" w:rsidRPr="00A20E58">
            <w:fldChar w:fldCharType="separate"/>
          </w:r>
          <w:r w:rsidR="0089011F" w:rsidRPr="0089011F">
            <w:rPr>
              <w:noProof/>
            </w:rPr>
            <w:t>[53]</w:t>
          </w:r>
          <w:r w:rsidR="00457C0C" w:rsidRPr="00A20E58">
            <w:fldChar w:fldCharType="end"/>
          </w:r>
        </w:sdtContent>
      </w:sdt>
      <w:r w:rsidR="00457C0C">
        <w:t xml:space="preserve"> and the Australian Medical Associate Indigenous People’s Medical Scholarship Trust Fund.</w:t>
      </w:r>
      <w:r w:rsidR="00457C0C" w:rsidRPr="00457C0C">
        <w:t xml:space="preserve"> </w:t>
      </w:r>
      <w:sdt>
        <w:sdtPr>
          <w:id w:val="760883896"/>
          <w:citation/>
        </w:sdtPr>
        <w:sdtContent>
          <w:r w:rsidR="00457C0C">
            <w:fldChar w:fldCharType="begin"/>
          </w:r>
          <w:r w:rsidR="00457C0C">
            <w:instrText xml:space="preserve"> CITATION Rur14 \l 3081 </w:instrText>
          </w:r>
          <w:r w:rsidR="00457C0C">
            <w:fldChar w:fldCharType="separate"/>
          </w:r>
          <w:r w:rsidR="0089011F" w:rsidRPr="0089011F">
            <w:rPr>
              <w:noProof/>
            </w:rPr>
            <w:t>[54]</w:t>
          </w:r>
          <w:r w:rsidR="00457C0C">
            <w:fldChar w:fldCharType="end"/>
          </w:r>
        </w:sdtContent>
      </w:sdt>
    </w:p>
    <w:p w14:paraId="6011A8F2" w14:textId="0F61660F" w:rsidR="005C2B84" w:rsidRDefault="005C2B84" w:rsidP="005C2B84">
      <w:pPr>
        <w:pStyle w:val="BodyCopy"/>
      </w:pPr>
      <w:r>
        <w:t xml:space="preserve">The NACCHO representative commented on the potential benefits of the Scholarship Scheme, including exposure of Aboriginal and Torres Strait Islander </w:t>
      </w:r>
      <w:r w:rsidR="00502D96">
        <w:t xml:space="preserve">students </w:t>
      </w:r>
      <w:r>
        <w:t xml:space="preserve">to university study. Universities also benefit from the Scheme through the sharing of knowledge with Aboriginal and Torres Strait Islander students. However, the representative queried whether consultation had occurred with Aboriginal and Torres Strait Islander communities and organisations to ensure the Scheme met the needs of this group. This is particularly important as there is little evidence to suggest scholarships are an effective means of recruiting Aboriginal and Torres Strait Islander pharmacy students. </w:t>
      </w:r>
    </w:p>
    <w:p w14:paraId="208B3724" w14:textId="5406D666" w:rsidR="005C2B84" w:rsidRPr="000B4EDE" w:rsidRDefault="005C2B84" w:rsidP="0033487B">
      <w:pPr>
        <w:pStyle w:val="Appropriatenessassessment"/>
      </w:pPr>
      <w:r>
        <w:t xml:space="preserve">Evidence supporting the </w:t>
      </w:r>
      <w:r w:rsidR="00F969EC">
        <w:t>Aboriginal and Torres Strait Islander Pharmacy Scholarship Scheme</w:t>
      </w:r>
      <w:r w:rsidR="00F969EC" w:rsidDel="00F969EC">
        <w:t xml:space="preserve"> </w:t>
      </w:r>
      <w:r>
        <w:t xml:space="preserve">is limited. Peak body stakeholder consultation supported the program. However, it is unclear whether community consultation occurred to inform the </w:t>
      </w:r>
      <w:r w:rsidR="00ED56E5">
        <w:t xml:space="preserve">aims </w:t>
      </w:r>
      <w:r>
        <w:t>of the program.</w:t>
      </w:r>
    </w:p>
    <w:p w14:paraId="17CF10C9" w14:textId="77777777" w:rsidR="005C2B84" w:rsidRPr="000B4EDE" w:rsidRDefault="005C2B84" w:rsidP="005C2B84">
      <w:pPr>
        <w:pStyle w:val="Heading4"/>
      </w:pPr>
      <w:r w:rsidRPr="000B4EDE">
        <w:t>Effectiveness</w:t>
      </w:r>
    </w:p>
    <w:p w14:paraId="7DC3A50A" w14:textId="61511128" w:rsidR="005C2B84" w:rsidRDefault="005C2B84" w:rsidP="005C2B84">
      <w:pPr>
        <w:pStyle w:val="BodyCopy"/>
      </w:pPr>
      <w:r>
        <w:t xml:space="preserve">As shown in </w:t>
      </w:r>
      <w:r>
        <w:fldChar w:fldCharType="begin"/>
      </w:r>
      <w:r>
        <w:instrText xml:space="preserve"> REF _Ref488058332 \h </w:instrText>
      </w:r>
      <w:r>
        <w:fldChar w:fldCharType="separate"/>
      </w:r>
      <w:r w:rsidR="00910E65">
        <w:t xml:space="preserve">Figure </w:t>
      </w:r>
      <w:r w:rsidR="00910E65">
        <w:rPr>
          <w:noProof/>
        </w:rPr>
        <w:t>5</w:t>
      </w:r>
      <w:r w:rsidR="00910E65">
        <w:t>.</w:t>
      </w:r>
      <w:r w:rsidR="00910E65">
        <w:rPr>
          <w:noProof/>
        </w:rPr>
        <w:t>3</w:t>
      </w:r>
      <w:r>
        <w:fldChar w:fldCharType="end"/>
      </w:r>
      <w:r>
        <w:t>, the number of Aboriginal and Torres Strait Islander pharmacists increased from 55 in 2013 to 67 in 2015, representing an overall increase of 21%. Each year, an average of three scholarship recipients become qualified pharmacists. This may account for up to 60% of the increase in pharmacist headcount seen from 2014 to 2015.</w:t>
      </w:r>
    </w:p>
    <w:p w14:paraId="559F6F69" w14:textId="213715CE" w:rsidR="005C2B84" w:rsidRPr="00714F35" w:rsidRDefault="005C2B84" w:rsidP="005C2B84">
      <w:pPr>
        <w:pStyle w:val="BodyCopy"/>
      </w:pPr>
      <w:r>
        <w:t xml:space="preserve">Scholarship recipients were targeted in an online survey. However, the response rate was very low with only </w:t>
      </w:r>
      <w:r w:rsidR="00CC652C">
        <w:t xml:space="preserve">five </w:t>
      </w:r>
      <w:r>
        <w:t xml:space="preserve">recipients completing the survey. Of these recipients, </w:t>
      </w:r>
      <w:r w:rsidR="00CC652C">
        <w:t>t</w:t>
      </w:r>
      <w:r>
        <w:t xml:space="preserve">wo (40%) were practising as community pharmacists and three (60%) were still studying. Both respondents who were practising pharmacists were working in </w:t>
      </w:r>
      <w:proofErr w:type="spellStart"/>
      <w:r>
        <w:t>PhARIA</w:t>
      </w:r>
      <w:proofErr w:type="spellEnd"/>
      <w:r>
        <w:t xml:space="preserve"> 1 locations that had Aboriginal and Torres Strait Islander populations above the national average of 3% total population</w:t>
      </w:r>
      <w:r>
        <w:rPr>
          <w:rStyle w:val="FootnoteReference"/>
        </w:rPr>
        <w:footnoteReference w:id="7"/>
      </w:r>
      <w:r>
        <w:t xml:space="preserve">. </w:t>
      </w:r>
    </w:p>
    <w:p w14:paraId="6081F5DF" w14:textId="77777777" w:rsidR="005C2B84" w:rsidRPr="00B82C20" w:rsidRDefault="005C2B84" w:rsidP="005C2B84">
      <w:pPr>
        <w:pStyle w:val="BodyCopy"/>
      </w:pPr>
      <w:r>
        <w:t xml:space="preserve">All respondents agreed the scholarship value of </w:t>
      </w:r>
      <w:r>
        <w:rPr>
          <w:rFonts w:ascii="Times New Roman" w:hAnsi="Times New Roman"/>
        </w:rPr>
        <w:t>$</w:t>
      </w:r>
      <w:r>
        <w:t xml:space="preserve">15,000 per annum was a helpful contribution to the costs of their study. However, when asked if the availability of the scholarship influenced their decision to study pharmacy, four of the five respondents (80%) selected </w:t>
      </w:r>
      <w:r w:rsidRPr="00554A3F">
        <w:rPr>
          <w:i/>
        </w:rPr>
        <w:t xml:space="preserve">‘not at all’ </w:t>
      </w:r>
      <w:r>
        <w:t xml:space="preserve">and one respondent selected </w:t>
      </w:r>
      <w:r w:rsidRPr="00554A3F">
        <w:rPr>
          <w:i/>
        </w:rPr>
        <w:t>‘somewhat’.</w:t>
      </w:r>
      <w:r>
        <w:rPr>
          <w:i/>
        </w:rPr>
        <w:t xml:space="preserve"> </w:t>
      </w:r>
      <w:r>
        <w:t xml:space="preserve">This finding suggests scholarship recipients had a prior interest in studying pharmacy. </w:t>
      </w:r>
    </w:p>
    <w:p w14:paraId="74C246F9" w14:textId="29BB3093" w:rsidR="005C2B84" w:rsidRDefault="005C2B84" w:rsidP="005C2B84">
      <w:pPr>
        <w:pStyle w:val="Caption"/>
      </w:pPr>
      <w:bookmarkStart w:id="93" w:name="_Ref488058332"/>
      <w:r>
        <w:t xml:space="preserve">Figure </w:t>
      </w:r>
      <w:r w:rsidR="00BC6E6C">
        <w:rPr>
          <w:noProof/>
        </w:rPr>
        <w:fldChar w:fldCharType="begin"/>
      </w:r>
      <w:r w:rsidR="00BC6E6C">
        <w:rPr>
          <w:noProof/>
        </w:rPr>
        <w:instrText xml:space="preserve"> STYLEREF 1 \s </w:instrText>
      </w:r>
      <w:r w:rsidR="00BC6E6C">
        <w:rPr>
          <w:noProof/>
        </w:rPr>
        <w:fldChar w:fldCharType="separate"/>
      </w:r>
      <w:r w:rsidR="00910E65">
        <w:rPr>
          <w:noProof/>
        </w:rPr>
        <w:t>5</w:t>
      </w:r>
      <w:r w:rsidR="00BC6E6C">
        <w:rPr>
          <w:noProof/>
        </w:rPr>
        <w:fldChar w:fldCharType="end"/>
      </w:r>
      <w:r w:rsidR="00181D4C">
        <w:t>.</w:t>
      </w:r>
      <w:r w:rsidR="00BC6E6C">
        <w:rPr>
          <w:noProof/>
        </w:rPr>
        <w:fldChar w:fldCharType="begin"/>
      </w:r>
      <w:r w:rsidR="00BC6E6C">
        <w:rPr>
          <w:noProof/>
        </w:rPr>
        <w:instrText xml:space="preserve"> SEQ Figure \* ARABIC \s 1 </w:instrText>
      </w:r>
      <w:r w:rsidR="00BC6E6C">
        <w:rPr>
          <w:noProof/>
        </w:rPr>
        <w:fldChar w:fldCharType="separate"/>
      </w:r>
      <w:r w:rsidR="00910E65">
        <w:rPr>
          <w:noProof/>
        </w:rPr>
        <w:t>3</w:t>
      </w:r>
      <w:r w:rsidR="00BC6E6C">
        <w:rPr>
          <w:noProof/>
        </w:rPr>
        <w:fldChar w:fldCharType="end"/>
      </w:r>
      <w:bookmarkEnd w:id="93"/>
      <w:r>
        <w:t xml:space="preserve">: </w:t>
      </w:r>
      <w:r>
        <w:rPr>
          <w:rStyle w:val="Captionnotbold"/>
        </w:rPr>
        <w:t>Aboriginal and Torres Strait Islander pharmacist headcount, 2013</w:t>
      </w:r>
      <w:r w:rsidR="00CC652C">
        <w:rPr>
          <w:rStyle w:val="Captionnotbold"/>
        </w:rPr>
        <w:t>–</w:t>
      </w:r>
      <w:r>
        <w:rPr>
          <w:rStyle w:val="Captionnotbold"/>
        </w:rPr>
        <w:t>15</w:t>
      </w:r>
    </w:p>
    <w:p w14:paraId="5C29ABED" w14:textId="77777777" w:rsidR="005C2B84" w:rsidRDefault="005C2B84" w:rsidP="005C2B84">
      <w:pPr>
        <w:pStyle w:val="BodyCopy"/>
      </w:pPr>
      <w:r>
        <w:rPr>
          <w:noProof/>
          <w:lang w:eastAsia="en-AU"/>
        </w:rPr>
        <w:drawing>
          <wp:inline distT="0" distB="0" distL="0" distR="0" wp14:anchorId="7F50447E" wp14:editId="5DCFE0C4">
            <wp:extent cx="4639310" cy="3505200"/>
            <wp:effectExtent l="0" t="0" r="8890" b="0"/>
            <wp:docPr id="49" name="Picture 49" descr="Figure 5.3 Bar graph showing Aboriginal and Torres Strait Islander pharmacist headcount, 20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39310" cy="3505200"/>
                    </a:xfrm>
                    <a:prstGeom prst="rect">
                      <a:avLst/>
                    </a:prstGeom>
                    <a:noFill/>
                  </pic:spPr>
                </pic:pic>
              </a:graphicData>
            </a:graphic>
          </wp:inline>
        </w:drawing>
      </w:r>
    </w:p>
    <w:p w14:paraId="45B58B79" w14:textId="63F1A1DA" w:rsidR="005C2B84" w:rsidRDefault="005C2B84" w:rsidP="005C2B84">
      <w:pPr>
        <w:pStyle w:val="TableNotes"/>
      </w:pPr>
      <w:r>
        <w:t>Source: AHPRA</w:t>
      </w:r>
      <w:sdt>
        <w:sdtPr>
          <w:id w:val="-998970945"/>
          <w:citation/>
        </w:sdtPr>
        <w:sdtContent>
          <w:r>
            <w:fldChar w:fldCharType="begin"/>
          </w:r>
          <w:r>
            <w:instrText xml:space="preserve"> CITATION Aus15 \l 3081 </w:instrText>
          </w:r>
          <w:r>
            <w:fldChar w:fldCharType="separate"/>
          </w:r>
          <w:r w:rsidR="0089011F">
            <w:rPr>
              <w:noProof/>
            </w:rPr>
            <w:t xml:space="preserve"> </w:t>
          </w:r>
          <w:r w:rsidR="0089011F" w:rsidRPr="0089011F">
            <w:rPr>
              <w:noProof/>
            </w:rPr>
            <w:t>[55]</w:t>
          </w:r>
          <w:r>
            <w:fldChar w:fldCharType="end"/>
          </w:r>
        </w:sdtContent>
      </w:sdt>
    </w:p>
    <w:p w14:paraId="60B47BC5" w14:textId="1D82295A" w:rsidR="005C2B84" w:rsidRDefault="00F969EC" w:rsidP="0033487B">
      <w:pPr>
        <w:pStyle w:val="Effectiveness"/>
      </w:pPr>
      <w:r>
        <w:lastRenderedPageBreak/>
        <w:t>Aboriginal and Torres Strait Islander Pharmacy Scholarship Scheme</w:t>
      </w:r>
      <w:r w:rsidDel="00F969EC">
        <w:t xml:space="preserve"> </w:t>
      </w:r>
      <w:r w:rsidR="005C2B84">
        <w:t xml:space="preserve">recipients may account for a significant proportion of the increase in Aboriginal and Torres Strait Islander pharmacists. </w:t>
      </w:r>
      <w:r>
        <w:t xml:space="preserve">However, it is unclear if increasing workforce is the most appropriate means of increasing access to culturally appropriate pharmacy services for Aboriginal and Torres Strait Islander people. </w:t>
      </w:r>
    </w:p>
    <w:p w14:paraId="06FD141B" w14:textId="77777777" w:rsidR="005C2B84" w:rsidRPr="000B4EDE" w:rsidRDefault="005C2B84" w:rsidP="005C2B84">
      <w:pPr>
        <w:pStyle w:val="Heading4"/>
      </w:pPr>
      <w:r w:rsidRPr="000B4EDE">
        <w:t>Efficiency</w:t>
      </w:r>
    </w:p>
    <w:p w14:paraId="35F8F3A0" w14:textId="320880D4" w:rsidR="005C2B84" w:rsidRPr="001F41A0" w:rsidRDefault="005C2B84" w:rsidP="005C2B84">
      <w:pPr>
        <w:pStyle w:val="BodyCopy"/>
      </w:pPr>
      <w:r w:rsidRPr="001F41A0">
        <w:t xml:space="preserve">The average annual cost of the </w:t>
      </w:r>
      <w:r w:rsidR="00F969EC">
        <w:t>Aboriginal and Torres Strait Islander Pharmacy Scholarship Scheme</w:t>
      </w:r>
      <w:r w:rsidR="00F969EC" w:rsidDel="00F969EC">
        <w:t xml:space="preserve"> </w:t>
      </w:r>
      <w:r w:rsidRPr="001F41A0">
        <w:t xml:space="preserve">was estimated at </w:t>
      </w:r>
      <w:r>
        <w:rPr>
          <w:rFonts w:ascii="Times New Roman" w:hAnsi="Times New Roman"/>
        </w:rPr>
        <w:t>$</w:t>
      </w:r>
      <w:r>
        <w:t>129,179</w:t>
      </w:r>
      <w:r w:rsidRPr="00B82C20">
        <w:t xml:space="preserve"> </w:t>
      </w:r>
      <w:r w:rsidRPr="001F41A0">
        <w:t>(based on the two financial years for which data was available</w:t>
      </w:r>
      <w:r w:rsidRPr="001F41A0">
        <w:rPr>
          <w:rFonts w:ascii="Times New Roman" w:hAnsi="Times New Roman"/>
        </w:rPr>
        <w:t xml:space="preserve"> $</w:t>
      </w:r>
      <w:r>
        <w:rPr>
          <w:rFonts w:ascii="Times New Roman" w:hAnsi="Times New Roman"/>
        </w:rPr>
        <w:t>117,242</w:t>
      </w:r>
      <w:r w:rsidRPr="00B82C20">
        <w:rPr>
          <w:rFonts w:ascii="Times New Roman" w:hAnsi="Times New Roman"/>
        </w:rPr>
        <w:t xml:space="preserve"> </w:t>
      </w:r>
      <w:r w:rsidRPr="001F41A0">
        <w:t>in 2013</w:t>
      </w:r>
      <w:r w:rsidR="00CC652C">
        <w:t>–</w:t>
      </w:r>
      <w:r w:rsidRPr="001F41A0">
        <w:t xml:space="preserve">14 and </w:t>
      </w:r>
      <w:r>
        <w:rPr>
          <w:rFonts w:ascii="Times New Roman" w:hAnsi="Times New Roman"/>
        </w:rPr>
        <w:t>$</w:t>
      </w:r>
      <w:r w:rsidRPr="00B82C20">
        <w:t>141,117</w:t>
      </w:r>
      <w:r>
        <w:rPr>
          <w:rFonts w:ascii="Times New Roman" w:hAnsi="Times New Roman"/>
        </w:rPr>
        <w:t xml:space="preserve"> </w:t>
      </w:r>
      <w:r w:rsidRPr="001F41A0">
        <w:t>in 2014</w:t>
      </w:r>
      <w:r w:rsidR="00CC652C">
        <w:t>–</w:t>
      </w:r>
      <w:r w:rsidRPr="001F41A0">
        <w:t xml:space="preserve">15). This equates to an average unit cost of </w:t>
      </w:r>
      <w:r w:rsidRPr="001F41A0">
        <w:rPr>
          <w:rFonts w:ascii="Times New Roman" w:hAnsi="Times New Roman"/>
        </w:rPr>
        <w:t>$</w:t>
      </w:r>
      <w:r>
        <w:rPr>
          <w:rFonts w:ascii="Times New Roman" w:hAnsi="Times New Roman"/>
        </w:rPr>
        <w:t xml:space="preserve">19,098 </w:t>
      </w:r>
      <w:r w:rsidRPr="001F41A0">
        <w:t xml:space="preserve">per </w:t>
      </w:r>
      <w:r>
        <w:t>scholarship</w:t>
      </w:r>
      <w:r w:rsidRPr="001F41A0">
        <w:t xml:space="preserve">. </w:t>
      </w:r>
    </w:p>
    <w:p w14:paraId="2AA71439" w14:textId="0B43181D" w:rsidR="005C2B84" w:rsidRPr="001F41A0" w:rsidRDefault="005C2B84" w:rsidP="005C2B84">
      <w:pPr>
        <w:pStyle w:val="BodyCopy"/>
      </w:pPr>
      <w:r w:rsidRPr="001F41A0">
        <w:t xml:space="preserve">The administrative component for the </w:t>
      </w:r>
      <w:r w:rsidR="00F969EC">
        <w:t>Aboriginal and Torres Strait Islander Pharmacy Scholarship Scheme</w:t>
      </w:r>
      <w:r w:rsidR="00F969EC" w:rsidDel="00F969EC">
        <w:t xml:space="preserve"> </w:t>
      </w:r>
      <w:r>
        <w:t>is within the acceptable range</w:t>
      </w:r>
      <w:r w:rsidRPr="001F41A0">
        <w:t xml:space="preserve">, estimated at </w:t>
      </w:r>
      <w:r>
        <w:t>21</w:t>
      </w:r>
      <w:r w:rsidRPr="001F41A0">
        <w:t xml:space="preserve">% of the unit cost. </w:t>
      </w:r>
    </w:p>
    <w:p w14:paraId="66BF930A" w14:textId="77777777" w:rsidR="005C2B84" w:rsidRPr="001F41A0" w:rsidRDefault="005C2B84" w:rsidP="0033487B">
      <w:pPr>
        <w:pStyle w:val="Efficiency"/>
      </w:pPr>
      <w:r w:rsidRPr="001F41A0">
        <w:t xml:space="preserve">A single unit cost per </w:t>
      </w:r>
      <w:r>
        <w:t>traineeship</w:t>
      </w:r>
      <w:r w:rsidRPr="001F41A0">
        <w:t xml:space="preserve"> recipient was estimated at </w:t>
      </w:r>
      <w:r w:rsidRPr="00B82C20">
        <w:rPr>
          <w:rFonts w:ascii="Times New Roman" w:hAnsi="Times New Roman"/>
        </w:rPr>
        <w:t>$</w:t>
      </w:r>
      <w:r>
        <w:t>19,098 comprising 21</w:t>
      </w:r>
      <w:r w:rsidRPr="001F41A0">
        <w:t xml:space="preserve">% administration overhead costs. This was considered </w:t>
      </w:r>
      <w:r>
        <w:t>within</w:t>
      </w:r>
      <w:r w:rsidRPr="001F41A0">
        <w:t xml:space="preserve"> the acceptable range for administration overheads. However, further investigation is required to assess actual time spent administering the program.</w:t>
      </w:r>
    </w:p>
    <w:p w14:paraId="5E78D9A5" w14:textId="77777777" w:rsidR="005C2B84" w:rsidRPr="00436590" w:rsidRDefault="005C2B84" w:rsidP="005C2B84">
      <w:pPr>
        <w:pStyle w:val="Heading4"/>
      </w:pPr>
      <w:r>
        <w:t>Options for improving program operation</w:t>
      </w:r>
    </w:p>
    <w:p w14:paraId="5D42882D" w14:textId="31771847" w:rsidR="005C2B84" w:rsidRDefault="005C2B84" w:rsidP="005C2B84">
      <w:pPr>
        <w:pStyle w:val="BodyCopy"/>
      </w:pPr>
      <w:r>
        <w:t xml:space="preserve">The NACCHO representative agreed that scholarships are an effective means of increasing the number of Aboriginal and Torres Strait Islander pharmacists. However, a multifaceted approach is required to provide culturally responsive care to Aboriginal and Torres Strait Islander communities (e.g. employing pharmacists in Aboriginal Medical Services (AMSs) and co-locating pharmacies with community-controlled health services). These issues are elaborated upon in the </w:t>
      </w:r>
      <w:r w:rsidR="00A71AAA">
        <w:rPr>
          <w:i/>
        </w:rPr>
        <w:t>Final</w:t>
      </w:r>
      <w:r w:rsidRPr="0040584F">
        <w:rPr>
          <w:i/>
        </w:rPr>
        <w:t xml:space="preserve"> Report.</w:t>
      </w:r>
      <w:r>
        <w:t xml:space="preserve"> </w:t>
      </w:r>
    </w:p>
    <w:p w14:paraId="5C6EFC24" w14:textId="4303AAC4" w:rsidR="005C2B84" w:rsidRDefault="00457C0C" w:rsidP="005C2B84">
      <w:pPr>
        <w:pStyle w:val="BodyCopy"/>
      </w:pPr>
      <w:r>
        <w:t xml:space="preserve">During consultation, a representative of </w:t>
      </w:r>
      <w:r w:rsidR="005C2B84">
        <w:t xml:space="preserve">The Guild suggested the Scholarship Scheme could be supplemented by a program to assist Aboriginal and Torres Strait </w:t>
      </w:r>
      <w:r w:rsidR="005C2B84">
        <w:t xml:space="preserve">Islander students to access alternative pathways to university if they did not receive the requisite score to enter a pharmacy degree. The Guild also noted that three annual scholarships are not enough to increase the number of Aboriginal and Torres Strait Islander pharmacists. </w:t>
      </w:r>
    </w:p>
    <w:p w14:paraId="0041B9C5" w14:textId="77777777" w:rsidR="000157E1" w:rsidRDefault="000157E1" w:rsidP="001573E2">
      <w:pPr>
        <w:pStyle w:val="BodyCopy"/>
        <w:sectPr w:rsidR="000157E1" w:rsidSect="00D25E91">
          <w:pgSz w:w="16839" w:h="11907" w:orient="landscape" w:code="9"/>
          <w:pgMar w:top="2268" w:right="1304" w:bottom="851" w:left="737" w:header="567" w:footer="284" w:gutter="0"/>
          <w:cols w:num="2" w:space="709"/>
          <w:docGrid w:linePitch="360"/>
        </w:sectPr>
      </w:pPr>
    </w:p>
    <w:p w14:paraId="5E86F75E" w14:textId="7F15C1A3" w:rsidR="005E5D36" w:rsidRDefault="005E5D36" w:rsidP="005E5D36">
      <w:pPr>
        <w:pStyle w:val="Heading1"/>
      </w:pPr>
      <w:bookmarkStart w:id="94" w:name="_Toc523318832"/>
      <w:r>
        <w:lastRenderedPageBreak/>
        <w:t>References</w:t>
      </w:r>
      <w:bookmarkEnd w:id="94"/>
    </w:p>
    <w:p w14:paraId="07F324F8" w14:textId="23D93304" w:rsidR="0089011F" w:rsidRDefault="006A02A7" w:rsidP="001573E2">
      <w:pPr>
        <w:pStyle w:val="BodyCopy"/>
        <w:rPr>
          <w:rFonts w:ascii="Courier" w:hAnsi="Courier"/>
          <w:noProof/>
          <w:color w:val="auto"/>
          <w:spacing w:val="0"/>
          <w:sz w:val="20"/>
        </w:rPr>
      </w:pPr>
      <w:r>
        <w:fldChar w:fldCharType="begin"/>
      </w:r>
      <w:r>
        <w:instrText xml:space="preserve"> BIBLIOGRAPHY  \l 3081 </w:instrText>
      </w:r>
      <w:r>
        <w:fldChar w:fldCharType="separate"/>
      </w:r>
    </w:p>
    <w:tbl>
      <w:tblPr>
        <w:tblStyle w:val="TableGridLight"/>
        <w:tblW w:w="5000" w:type="pct"/>
        <w:tblLook w:val="04A0" w:firstRow="1" w:lastRow="0" w:firstColumn="1" w:lastColumn="0" w:noHBand="0" w:noVBand="1"/>
        <w:tblCaption w:val="References"/>
        <w:tblDescription w:val="List of References used in the document."/>
      </w:tblPr>
      <w:tblGrid>
        <w:gridCol w:w="534"/>
        <w:gridCol w:w="6500"/>
      </w:tblGrid>
      <w:tr w:rsidR="0089011F" w14:paraId="4EF639A8" w14:textId="77777777" w:rsidTr="00CB1ECD">
        <w:trPr>
          <w:divId w:val="823667041"/>
        </w:trPr>
        <w:tc>
          <w:tcPr>
            <w:tcW w:w="50" w:type="pct"/>
            <w:hideMark/>
          </w:tcPr>
          <w:p w14:paraId="737465DF" w14:textId="37991CD0" w:rsidR="0089011F" w:rsidRDefault="0089011F">
            <w:pPr>
              <w:pStyle w:val="Bibliography"/>
              <w:rPr>
                <w:noProof/>
                <w:sz w:val="24"/>
                <w:szCs w:val="24"/>
              </w:rPr>
            </w:pPr>
            <w:bookmarkStart w:id="95" w:name="_GoBack" w:colFirst="0" w:colLast="2"/>
            <w:r>
              <w:rPr>
                <w:noProof/>
              </w:rPr>
              <w:t xml:space="preserve">[1] </w:t>
            </w:r>
          </w:p>
        </w:tc>
        <w:tc>
          <w:tcPr>
            <w:tcW w:w="0" w:type="auto"/>
            <w:hideMark/>
          </w:tcPr>
          <w:p w14:paraId="53751D69" w14:textId="77777777" w:rsidR="0089011F" w:rsidRDefault="0089011F">
            <w:pPr>
              <w:pStyle w:val="Bibliography"/>
              <w:rPr>
                <w:noProof/>
              </w:rPr>
            </w:pPr>
            <w:r>
              <w:rPr>
                <w:noProof/>
              </w:rPr>
              <w:t>D. Tune, “Evaluation: Renewed Strategic Emphasis,” August 2010. [Online]. Available: http://www.finance.gov.au/presentations/docs/speaking-notes-for-David-Tune-presentation-18-08-2020.pdf.</w:t>
            </w:r>
          </w:p>
        </w:tc>
      </w:tr>
      <w:bookmarkEnd w:id="95"/>
      <w:tr w:rsidR="0089011F" w14:paraId="19043EB6" w14:textId="77777777" w:rsidTr="00CB1ECD">
        <w:trPr>
          <w:divId w:val="823667041"/>
        </w:trPr>
        <w:tc>
          <w:tcPr>
            <w:tcW w:w="50" w:type="pct"/>
            <w:hideMark/>
          </w:tcPr>
          <w:p w14:paraId="570ECD2D" w14:textId="77777777" w:rsidR="0089011F" w:rsidRDefault="0089011F">
            <w:pPr>
              <w:pStyle w:val="Bibliography"/>
              <w:rPr>
                <w:noProof/>
              </w:rPr>
            </w:pPr>
            <w:r>
              <w:rPr>
                <w:noProof/>
              </w:rPr>
              <w:t xml:space="preserve">[2] </w:t>
            </w:r>
          </w:p>
        </w:tc>
        <w:tc>
          <w:tcPr>
            <w:tcW w:w="0" w:type="auto"/>
            <w:hideMark/>
          </w:tcPr>
          <w:p w14:paraId="6DE22DCF" w14:textId="77777777" w:rsidR="0089011F" w:rsidRDefault="0089011F">
            <w:pPr>
              <w:pStyle w:val="Bibliography"/>
              <w:rPr>
                <w:noProof/>
              </w:rPr>
            </w:pPr>
            <w:r>
              <w:rPr>
                <w:noProof/>
              </w:rPr>
              <w:t>University of Adelaide, “Pharmacy ARIA - PhARIA,” 3 July 2017. [Online]. Available: https://www.adelaide.edu.au/apmrc/research/projects/pharia/. [Accessed 1 August 2017].</w:t>
            </w:r>
          </w:p>
        </w:tc>
      </w:tr>
      <w:tr w:rsidR="0089011F" w14:paraId="6CD005D7" w14:textId="77777777" w:rsidTr="00CB1ECD">
        <w:trPr>
          <w:divId w:val="823667041"/>
        </w:trPr>
        <w:tc>
          <w:tcPr>
            <w:tcW w:w="50" w:type="pct"/>
            <w:hideMark/>
          </w:tcPr>
          <w:p w14:paraId="52E67DCB" w14:textId="77777777" w:rsidR="0089011F" w:rsidRDefault="0089011F">
            <w:pPr>
              <w:pStyle w:val="Bibliography"/>
              <w:rPr>
                <w:noProof/>
              </w:rPr>
            </w:pPr>
            <w:r>
              <w:rPr>
                <w:noProof/>
              </w:rPr>
              <w:t xml:space="preserve">[3] </w:t>
            </w:r>
          </w:p>
        </w:tc>
        <w:tc>
          <w:tcPr>
            <w:tcW w:w="0" w:type="auto"/>
            <w:hideMark/>
          </w:tcPr>
          <w:p w14:paraId="6F74BEFE" w14:textId="77777777" w:rsidR="0089011F" w:rsidRDefault="0089011F">
            <w:pPr>
              <w:pStyle w:val="Bibliography"/>
              <w:rPr>
                <w:noProof/>
              </w:rPr>
            </w:pPr>
            <w:r>
              <w:rPr>
                <w:noProof/>
              </w:rPr>
              <w:t>The Pharmacy Guild of Australia, “6th Community Pharmacy Agreement, Rural Pharmacy Scholarship Scheme Programme Specific Guidelines,” 2015. [Online]. Available: http://6cpa.com.au/rural-support-programmes/rural-pharmacy-scholarship-scheme/.</w:t>
            </w:r>
          </w:p>
        </w:tc>
      </w:tr>
      <w:tr w:rsidR="0089011F" w14:paraId="5876B8BB" w14:textId="77777777" w:rsidTr="00CB1ECD">
        <w:trPr>
          <w:divId w:val="823667041"/>
        </w:trPr>
        <w:tc>
          <w:tcPr>
            <w:tcW w:w="50" w:type="pct"/>
            <w:hideMark/>
          </w:tcPr>
          <w:p w14:paraId="037CF4C8" w14:textId="77777777" w:rsidR="0089011F" w:rsidRDefault="0089011F">
            <w:pPr>
              <w:pStyle w:val="Bibliography"/>
              <w:rPr>
                <w:noProof/>
              </w:rPr>
            </w:pPr>
            <w:r>
              <w:rPr>
                <w:noProof/>
              </w:rPr>
              <w:t xml:space="preserve">[4] </w:t>
            </w:r>
          </w:p>
        </w:tc>
        <w:tc>
          <w:tcPr>
            <w:tcW w:w="0" w:type="auto"/>
            <w:hideMark/>
          </w:tcPr>
          <w:p w14:paraId="6BC750E1" w14:textId="77777777" w:rsidR="0089011F" w:rsidRDefault="0089011F">
            <w:pPr>
              <w:pStyle w:val="Bibliography"/>
              <w:rPr>
                <w:noProof/>
              </w:rPr>
            </w:pPr>
            <w:r>
              <w:rPr>
                <w:noProof/>
              </w:rPr>
              <w:t>Sixth Community Pharmacy Agreement, “Scholarship Participation Guide,” 6CPA, Canberra, 2015.</w:t>
            </w:r>
          </w:p>
        </w:tc>
      </w:tr>
      <w:tr w:rsidR="0089011F" w14:paraId="56D2D225" w14:textId="77777777" w:rsidTr="00CB1ECD">
        <w:trPr>
          <w:divId w:val="823667041"/>
        </w:trPr>
        <w:tc>
          <w:tcPr>
            <w:tcW w:w="50" w:type="pct"/>
            <w:hideMark/>
          </w:tcPr>
          <w:p w14:paraId="5D99B479" w14:textId="77777777" w:rsidR="0089011F" w:rsidRDefault="0089011F">
            <w:pPr>
              <w:pStyle w:val="Bibliography"/>
              <w:rPr>
                <w:noProof/>
              </w:rPr>
            </w:pPr>
            <w:r>
              <w:rPr>
                <w:noProof/>
              </w:rPr>
              <w:t xml:space="preserve">[5] </w:t>
            </w:r>
          </w:p>
        </w:tc>
        <w:tc>
          <w:tcPr>
            <w:tcW w:w="0" w:type="auto"/>
            <w:hideMark/>
          </w:tcPr>
          <w:p w14:paraId="6CAD7E4A" w14:textId="77777777" w:rsidR="0089011F" w:rsidRDefault="0089011F">
            <w:pPr>
              <w:pStyle w:val="Bibliography"/>
              <w:rPr>
                <w:noProof/>
              </w:rPr>
            </w:pPr>
            <w:r>
              <w:rPr>
                <w:noProof/>
              </w:rPr>
              <w:t xml:space="preserve">The Pharmacy Guild of Australia, </w:t>
            </w:r>
            <w:r>
              <w:rPr>
                <w:i/>
                <w:iCs/>
                <w:noProof/>
              </w:rPr>
              <w:t xml:space="preserve">Rural Pharmacy Scholarship Scheme data [unpublished], </w:t>
            </w:r>
            <w:r>
              <w:rPr>
                <w:noProof/>
              </w:rPr>
              <w:t xml:space="preserve">2014-2016. </w:t>
            </w:r>
          </w:p>
        </w:tc>
      </w:tr>
      <w:tr w:rsidR="0089011F" w14:paraId="12E76952" w14:textId="77777777" w:rsidTr="00CB1ECD">
        <w:trPr>
          <w:divId w:val="823667041"/>
        </w:trPr>
        <w:tc>
          <w:tcPr>
            <w:tcW w:w="50" w:type="pct"/>
            <w:hideMark/>
          </w:tcPr>
          <w:p w14:paraId="70D4B99E" w14:textId="77777777" w:rsidR="0089011F" w:rsidRDefault="0089011F">
            <w:pPr>
              <w:pStyle w:val="Bibliography"/>
              <w:rPr>
                <w:noProof/>
              </w:rPr>
            </w:pPr>
            <w:r>
              <w:rPr>
                <w:noProof/>
              </w:rPr>
              <w:t xml:space="preserve">[6] </w:t>
            </w:r>
          </w:p>
        </w:tc>
        <w:tc>
          <w:tcPr>
            <w:tcW w:w="0" w:type="auto"/>
            <w:hideMark/>
          </w:tcPr>
          <w:p w14:paraId="2BE1DCFC" w14:textId="77777777" w:rsidR="0089011F" w:rsidRDefault="0089011F">
            <w:pPr>
              <w:pStyle w:val="Bibliography"/>
              <w:rPr>
                <w:noProof/>
              </w:rPr>
            </w:pPr>
            <w:r>
              <w:rPr>
                <w:noProof/>
              </w:rPr>
              <w:t xml:space="preserve">N. Wilson, I. Couper, E. De Vries, S. Reid, T. Fish and B. Marais, “A critical review of interventions to redress the inequitable distribution of healthcare professionals to rural and remote areas,” </w:t>
            </w:r>
            <w:r>
              <w:rPr>
                <w:i/>
                <w:iCs/>
                <w:noProof/>
              </w:rPr>
              <w:t xml:space="preserve">Rural and Remote Health, </w:t>
            </w:r>
            <w:r>
              <w:rPr>
                <w:noProof/>
              </w:rPr>
              <w:t xml:space="preserve">vol. 9, no. 1060, 2009. </w:t>
            </w:r>
          </w:p>
        </w:tc>
      </w:tr>
      <w:tr w:rsidR="0089011F" w14:paraId="750B2BBF" w14:textId="77777777" w:rsidTr="00CB1ECD">
        <w:trPr>
          <w:divId w:val="823667041"/>
        </w:trPr>
        <w:tc>
          <w:tcPr>
            <w:tcW w:w="50" w:type="pct"/>
            <w:hideMark/>
          </w:tcPr>
          <w:p w14:paraId="52C023FD" w14:textId="77777777" w:rsidR="0089011F" w:rsidRDefault="0089011F">
            <w:pPr>
              <w:pStyle w:val="Bibliography"/>
              <w:rPr>
                <w:noProof/>
              </w:rPr>
            </w:pPr>
            <w:r>
              <w:rPr>
                <w:noProof/>
              </w:rPr>
              <w:t xml:space="preserve">[7] </w:t>
            </w:r>
          </w:p>
        </w:tc>
        <w:tc>
          <w:tcPr>
            <w:tcW w:w="0" w:type="auto"/>
            <w:hideMark/>
          </w:tcPr>
          <w:p w14:paraId="30317967" w14:textId="77777777" w:rsidR="0089011F" w:rsidRDefault="0089011F">
            <w:pPr>
              <w:pStyle w:val="Bibliography"/>
              <w:rPr>
                <w:noProof/>
              </w:rPr>
            </w:pPr>
            <w:r>
              <w:rPr>
                <w:noProof/>
              </w:rPr>
              <w:t>J. Katznellenbogen, A. Dury, M. Haigh and J. Woods, “Critical success factors for recruiting and retaining health professionals to primary health care in rural and remote locations,” Rural Health West, Nedlands, 2013.</w:t>
            </w:r>
          </w:p>
        </w:tc>
      </w:tr>
      <w:tr w:rsidR="0089011F" w14:paraId="21D080AE" w14:textId="77777777" w:rsidTr="00CB1ECD">
        <w:trPr>
          <w:divId w:val="823667041"/>
        </w:trPr>
        <w:tc>
          <w:tcPr>
            <w:tcW w:w="50" w:type="pct"/>
            <w:hideMark/>
          </w:tcPr>
          <w:p w14:paraId="489A3B97" w14:textId="77777777" w:rsidR="0089011F" w:rsidRDefault="0089011F">
            <w:pPr>
              <w:pStyle w:val="Bibliography"/>
              <w:rPr>
                <w:noProof/>
              </w:rPr>
            </w:pPr>
            <w:r>
              <w:rPr>
                <w:noProof/>
              </w:rPr>
              <w:t xml:space="preserve">[8] </w:t>
            </w:r>
          </w:p>
        </w:tc>
        <w:tc>
          <w:tcPr>
            <w:tcW w:w="0" w:type="auto"/>
            <w:hideMark/>
          </w:tcPr>
          <w:p w14:paraId="5FECFDC6" w14:textId="77777777" w:rsidR="0089011F" w:rsidRDefault="0089011F">
            <w:pPr>
              <w:pStyle w:val="Bibliography"/>
              <w:rPr>
                <w:noProof/>
              </w:rPr>
            </w:pPr>
            <w:r>
              <w:rPr>
                <w:noProof/>
              </w:rPr>
              <w:t xml:space="preserve">J. Dunbabin and L. Levitt, “Rural original and rural medical expsore: their impact on the rural and remote medical workforce in Australia,” </w:t>
            </w:r>
            <w:r>
              <w:rPr>
                <w:i/>
                <w:iCs/>
                <w:noProof/>
              </w:rPr>
              <w:t xml:space="preserve">Rural and Remote Health, </w:t>
            </w:r>
            <w:r>
              <w:rPr>
                <w:noProof/>
              </w:rPr>
              <w:t xml:space="preserve">vol. 3, 2003. </w:t>
            </w:r>
          </w:p>
        </w:tc>
      </w:tr>
      <w:tr w:rsidR="0089011F" w14:paraId="72672DE8" w14:textId="77777777" w:rsidTr="00CB1ECD">
        <w:trPr>
          <w:divId w:val="823667041"/>
        </w:trPr>
        <w:tc>
          <w:tcPr>
            <w:tcW w:w="50" w:type="pct"/>
            <w:hideMark/>
          </w:tcPr>
          <w:p w14:paraId="56E54E54" w14:textId="77777777" w:rsidR="0089011F" w:rsidRDefault="0089011F">
            <w:pPr>
              <w:pStyle w:val="Bibliography"/>
              <w:rPr>
                <w:noProof/>
              </w:rPr>
            </w:pPr>
            <w:r>
              <w:rPr>
                <w:noProof/>
              </w:rPr>
              <w:t xml:space="preserve">[9] </w:t>
            </w:r>
          </w:p>
        </w:tc>
        <w:tc>
          <w:tcPr>
            <w:tcW w:w="0" w:type="auto"/>
            <w:hideMark/>
          </w:tcPr>
          <w:p w14:paraId="35FAD26B" w14:textId="77777777" w:rsidR="0089011F" w:rsidRDefault="0089011F">
            <w:pPr>
              <w:pStyle w:val="Bibliography"/>
              <w:rPr>
                <w:noProof/>
              </w:rPr>
            </w:pPr>
            <w:r>
              <w:rPr>
                <w:noProof/>
              </w:rPr>
              <w:t xml:space="preserve">J. Walker, D. De Witt, J. Pallant and C. Cunningham, “Rural origin plus a rural clinical school placement is a significant predictor of medical students' </w:t>
            </w:r>
            <w:r>
              <w:rPr>
                <w:noProof/>
              </w:rPr>
              <w:t xml:space="preserve">intentions to practice rurally: a multi-university study,” </w:t>
            </w:r>
            <w:r>
              <w:rPr>
                <w:i/>
                <w:iCs/>
                <w:noProof/>
              </w:rPr>
              <w:t xml:space="preserve">Rural and Remore Health, </w:t>
            </w:r>
            <w:r>
              <w:rPr>
                <w:noProof/>
              </w:rPr>
              <w:t xml:space="preserve">vol. 12, no. 1908, 2012. </w:t>
            </w:r>
          </w:p>
        </w:tc>
      </w:tr>
      <w:tr w:rsidR="0089011F" w14:paraId="43EC0E37" w14:textId="77777777" w:rsidTr="00CB1ECD">
        <w:trPr>
          <w:divId w:val="823667041"/>
        </w:trPr>
        <w:tc>
          <w:tcPr>
            <w:tcW w:w="50" w:type="pct"/>
            <w:hideMark/>
          </w:tcPr>
          <w:p w14:paraId="7B5911B7" w14:textId="77777777" w:rsidR="0089011F" w:rsidRDefault="0089011F">
            <w:pPr>
              <w:pStyle w:val="Bibliography"/>
              <w:rPr>
                <w:noProof/>
              </w:rPr>
            </w:pPr>
            <w:r>
              <w:rPr>
                <w:noProof/>
              </w:rPr>
              <w:t xml:space="preserve">[10] </w:t>
            </w:r>
          </w:p>
        </w:tc>
        <w:tc>
          <w:tcPr>
            <w:tcW w:w="0" w:type="auto"/>
            <w:hideMark/>
          </w:tcPr>
          <w:p w14:paraId="2309A42D" w14:textId="77777777" w:rsidR="0089011F" w:rsidRDefault="0089011F">
            <w:pPr>
              <w:pStyle w:val="Bibliography"/>
              <w:rPr>
                <w:noProof/>
              </w:rPr>
            </w:pPr>
            <w:r>
              <w:rPr>
                <w:noProof/>
              </w:rPr>
              <w:t xml:space="preserve">J. Henry, B. Edwards and B. Crotty, “Why do medical graduates choose rural careers?,” </w:t>
            </w:r>
            <w:r>
              <w:rPr>
                <w:i/>
                <w:iCs/>
                <w:noProof/>
              </w:rPr>
              <w:t xml:space="preserve">Rural and Remote Health, </w:t>
            </w:r>
            <w:r>
              <w:rPr>
                <w:noProof/>
              </w:rPr>
              <w:t xml:space="preserve">vol. 9, no. 1083, 2009. </w:t>
            </w:r>
          </w:p>
        </w:tc>
      </w:tr>
      <w:tr w:rsidR="0089011F" w14:paraId="30A2476F" w14:textId="77777777" w:rsidTr="00CB1ECD">
        <w:trPr>
          <w:divId w:val="823667041"/>
        </w:trPr>
        <w:tc>
          <w:tcPr>
            <w:tcW w:w="50" w:type="pct"/>
            <w:hideMark/>
          </w:tcPr>
          <w:p w14:paraId="51EA32D7" w14:textId="77777777" w:rsidR="0089011F" w:rsidRDefault="0089011F">
            <w:pPr>
              <w:pStyle w:val="Bibliography"/>
              <w:rPr>
                <w:noProof/>
              </w:rPr>
            </w:pPr>
            <w:r>
              <w:rPr>
                <w:noProof/>
              </w:rPr>
              <w:t xml:space="preserve">[11] </w:t>
            </w:r>
          </w:p>
        </w:tc>
        <w:tc>
          <w:tcPr>
            <w:tcW w:w="0" w:type="auto"/>
            <w:hideMark/>
          </w:tcPr>
          <w:p w14:paraId="20AD3A4C" w14:textId="77777777" w:rsidR="0089011F" w:rsidRDefault="0089011F">
            <w:pPr>
              <w:pStyle w:val="Bibliography"/>
              <w:rPr>
                <w:noProof/>
              </w:rPr>
            </w:pPr>
            <w:r>
              <w:rPr>
                <w:noProof/>
              </w:rPr>
              <w:t>J. Mason, “Review of Australian Government Health Workforce Programs,” Australian Government Department of Health, Canberra, 2013.</w:t>
            </w:r>
          </w:p>
        </w:tc>
      </w:tr>
      <w:tr w:rsidR="0089011F" w14:paraId="164E1B27" w14:textId="77777777" w:rsidTr="00CB1ECD">
        <w:trPr>
          <w:divId w:val="823667041"/>
        </w:trPr>
        <w:tc>
          <w:tcPr>
            <w:tcW w:w="50" w:type="pct"/>
            <w:hideMark/>
          </w:tcPr>
          <w:p w14:paraId="5C9B2E49" w14:textId="77777777" w:rsidR="0089011F" w:rsidRDefault="0089011F">
            <w:pPr>
              <w:pStyle w:val="Bibliography"/>
              <w:rPr>
                <w:noProof/>
              </w:rPr>
            </w:pPr>
            <w:r>
              <w:rPr>
                <w:noProof/>
              </w:rPr>
              <w:t xml:space="preserve">[12] </w:t>
            </w:r>
          </w:p>
        </w:tc>
        <w:tc>
          <w:tcPr>
            <w:tcW w:w="0" w:type="auto"/>
            <w:hideMark/>
          </w:tcPr>
          <w:p w14:paraId="484B92DE" w14:textId="77777777" w:rsidR="0089011F" w:rsidRDefault="0089011F">
            <w:pPr>
              <w:pStyle w:val="Bibliography"/>
              <w:rPr>
                <w:noProof/>
              </w:rPr>
            </w:pPr>
            <w:r>
              <w:rPr>
                <w:noProof/>
              </w:rPr>
              <w:t xml:space="preserve">S. Devine, G. Williams and I. Nielsen, “Rural Allied Health Scholarships: do they make a difference?,” </w:t>
            </w:r>
            <w:r>
              <w:rPr>
                <w:i/>
                <w:iCs/>
                <w:noProof/>
              </w:rPr>
              <w:t xml:space="preserve">Rural and Remote Health, </w:t>
            </w:r>
            <w:r>
              <w:rPr>
                <w:noProof/>
              </w:rPr>
              <w:t xml:space="preserve">vol. 13, no. 2459, 2013. </w:t>
            </w:r>
          </w:p>
        </w:tc>
      </w:tr>
      <w:tr w:rsidR="0089011F" w14:paraId="454CE9F3" w14:textId="77777777" w:rsidTr="00CB1ECD">
        <w:trPr>
          <w:divId w:val="823667041"/>
        </w:trPr>
        <w:tc>
          <w:tcPr>
            <w:tcW w:w="50" w:type="pct"/>
            <w:hideMark/>
          </w:tcPr>
          <w:p w14:paraId="4D746C1A" w14:textId="77777777" w:rsidR="0089011F" w:rsidRDefault="0089011F">
            <w:pPr>
              <w:pStyle w:val="Bibliography"/>
              <w:rPr>
                <w:noProof/>
              </w:rPr>
            </w:pPr>
            <w:r>
              <w:rPr>
                <w:noProof/>
              </w:rPr>
              <w:t xml:space="preserve">[13] </w:t>
            </w:r>
          </w:p>
        </w:tc>
        <w:tc>
          <w:tcPr>
            <w:tcW w:w="0" w:type="auto"/>
            <w:hideMark/>
          </w:tcPr>
          <w:p w14:paraId="0663FF7C" w14:textId="77777777" w:rsidR="0089011F" w:rsidRDefault="0089011F">
            <w:pPr>
              <w:pStyle w:val="Bibliography"/>
              <w:rPr>
                <w:noProof/>
              </w:rPr>
            </w:pPr>
            <w:r>
              <w:rPr>
                <w:noProof/>
              </w:rPr>
              <w:t xml:space="preserve">T. Barnighausen and D. Bloom, “ Financial incentives for return of service in underserved areas: a systematic review,” </w:t>
            </w:r>
            <w:r>
              <w:rPr>
                <w:i/>
                <w:iCs/>
                <w:noProof/>
              </w:rPr>
              <w:t xml:space="preserve">BMC Health Services Research, </w:t>
            </w:r>
            <w:r>
              <w:rPr>
                <w:noProof/>
              </w:rPr>
              <w:t xml:space="preserve">vol. 9, no. 86, 2009. </w:t>
            </w:r>
          </w:p>
        </w:tc>
      </w:tr>
      <w:tr w:rsidR="0089011F" w14:paraId="6ADDF0F5" w14:textId="77777777" w:rsidTr="00CB1ECD">
        <w:trPr>
          <w:divId w:val="823667041"/>
        </w:trPr>
        <w:tc>
          <w:tcPr>
            <w:tcW w:w="50" w:type="pct"/>
            <w:hideMark/>
          </w:tcPr>
          <w:p w14:paraId="32B7E812" w14:textId="77777777" w:rsidR="0089011F" w:rsidRDefault="0089011F">
            <w:pPr>
              <w:pStyle w:val="Bibliography"/>
              <w:rPr>
                <w:noProof/>
              </w:rPr>
            </w:pPr>
            <w:r>
              <w:rPr>
                <w:noProof/>
              </w:rPr>
              <w:t xml:space="preserve">[14] </w:t>
            </w:r>
          </w:p>
        </w:tc>
        <w:tc>
          <w:tcPr>
            <w:tcW w:w="0" w:type="auto"/>
            <w:hideMark/>
          </w:tcPr>
          <w:p w14:paraId="544EB761" w14:textId="77777777" w:rsidR="0089011F" w:rsidRDefault="0089011F">
            <w:pPr>
              <w:pStyle w:val="Bibliography"/>
              <w:rPr>
                <w:noProof/>
              </w:rPr>
            </w:pPr>
            <w:r>
              <w:rPr>
                <w:noProof/>
              </w:rPr>
              <w:t>Australian Government Department of Health, “Health Workforce Scholarship Program,” 28 June 2017. [Online]. Available: http://www.health.gov.au/internet/main/publishing.nsf/Content/health-workforce-scholarship-program. [Accessed 1 July 2017].</w:t>
            </w:r>
          </w:p>
        </w:tc>
      </w:tr>
      <w:tr w:rsidR="0089011F" w14:paraId="7BA2E4D3" w14:textId="77777777" w:rsidTr="00CB1ECD">
        <w:trPr>
          <w:divId w:val="823667041"/>
        </w:trPr>
        <w:tc>
          <w:tcPr>
            <w:tcW w:w="50" w:type="pct"/>
            <w:hideMark/>
          </w:tcPr>
          <w:p w14:paraId="5F71D659" w14:textId="77777777" w:rsidR="0089011F" w:rsidRDefault="0089011F">
            <w:pPr>
              <w:pStyle w:val="Bibliography"/>
              <w:rPr>
                <w:noProof/>
              </w:rPr>
            </w:pPr>
            <w:r>
              <w:rPr>
                <w:noProof/>
              </w:rPr>
              <w:t xml:space="preserve">[15] </w:t>
            </w:r>
          </w:p>
        </w:tc>
        <w:tc>
          <w:tcPr>
            <w:tcW w:w="0" w:type="auto"/>
            <w:hideMark/>
          </w:tcPr>
          <w:p w14:paraId="2D38EB2D" w14:textId="77777777" w:rsidR="0089011F" w:rsidRDefault="0089011F">
            <w:pPr>
              <w:pStyle w:val="Bibliography"/>
              <w:rPr>
                <w:noProof/>
              </w:rPr>
            </w:pPr>
            <w:r>
              <w:rPr>
                <w:noProof/>
              </w:rPr>
              <w:t>Australian Government Department of Health, “Bonded Medical Places,” 6 June 2016. [Online]. Available: http://www.health.gov.au. [Accessed 1 July 2017].</w:t>
            </w:r>
          </w:p>
        </w:tc>
      </w:tr>
      <w:tr w:rsidR="0089011F" w14:paraId="6603ADBB" w14:textId="77777777" w:rsidTr="00CB1ECD">
        <w:trPr>
          <w:divId w:val="823667041"/>
        </w:trPr>
        <w:tc>
          <w:tcPr>
            <w:tcW w:w="50" w:type="pct"/>
            <w:hideMark/>
          </w:tcPr>
          <w:p w14:paraId="33317DCC" w14:textId="77777777" w:rsidR="0089011F" w:rsidRDefault="0089011F">
            <w:pPr>
              <w:pStyle w:val="Bibliography"/>
              <w:rPr>
                <w:noProof/>
              </w:rPr>
            </w:pPr>
            <w:r>
              <w:rPr>
                <w:noProof/>
              </w:rPr>
              <w:t xml:space="preserve">[16] </w:t>
            </w:r>
          </w:p>
        </w:tc>
        <w:tc>
          <w:tcPr>
            <w:tcW w:w="0" w:type="auto"/>
            <w:hideMark/>
          </w:tcPr>
          <w:p w14:paraId="0CB3BA6D" w14:textId="77777777" w:rsidR="0089011F" w:rsidRDefault="0089011F">
            <w:pPr>
              <w:pStyle w:val="Bibliography"/>
              <w:rPr>
                <w:noProof/>
              </w:rPr>
            </w:pPr>
            <w:r>
              <w:rPr>
                <w:noProof/>
              </w:rPr>
              <w:t>The Pharmacy Guild of Australia, “Sixth Community Pharmacy Agreement, Rural Pharmacy Scholarship Mentor Scheme Programme Specific Guidelines,” Australian Government Department of Health, Canberra, 2015.</w:t>
            </w:r>
          </w:p>
        </w:tc>
      </w:tr>
      <w:tr w:rsidR="0089011F" w14:paraId="0F491D77" w14:textId="77777777" w:rsidTr="00CB1ECD">
        <w:trPr>
          <w:divId w:val="823667041"/>
        </w:trPr>
        <w:tc>
          <w:tcPr>
            <w:tcW w:w="50" w:type="pct"/>
            <w:hideMark/>
          </w:tcPr>
          <w:p w14:paraId="362CB95F" w14:textId="77777777" w:rsidR="0089011F" w:rsidRDefault="0089011F">
            <w:pPr>
              <w:pStyle w:val="Bibliography"/>
              <w:rPr>
                <w:noProof/>
              </w:rPr>
            </w:pPr>
            <w:r>
              <w:rPr>
                <w:noProof/>
              </w:rPr>
              <w:t xml:space="preserve">[17] </w:t>
            </w:r>
          </w:p>
        </w:tc>
        <w:tc>
          <w:tcPr>
            <w:tcW w:w="0" w:type="auto"/>
            <w:hideMark/>
          </w:tcPr>
          <w:p w14:paraId="6CD05491" w14:textId="77777777" w:rsidR="0089011F" w:rsidRDefault="0089011F">
            <w:pPr>
              <w:pStyle w:val="Bibliography"/>
              <w:rPr>
                <w:noProof/>
              </w:rPr>
            </w:pPr>
            <w:r>
              <w:rPr>
                <w:noProof/>
              </w:rPr>
              <w:t xml:space="preserve">A. Ross, “Success of a scholarship scheme for rural students,” </w:t>
            </w:r>
            <w:r>
              <w:rPr>
                <w:i/>
                <w:iCs/>
                <w:noProof/>
              </w:rPr>
              <w:t xml:space="preserve">South African Medical Journal, </w:t>
            </w:r>
            <w:r>
              <w:rPr>
                <w:noProof/>
              </w:rPr>
              <w:t xml:space="preserve">vol. 97, no. 11, 2007. </w:t>
            </w:r>
          </w:p>
        </w:tc>
      </w:tr>
      <w:tr w:rsidR="0089011F" w14:paraId="6A80ED74" w14:textId="77777777" w:rsidTr="00CB1ECD">
        <w:trPr>
          <w:divId w:val="823667041"/>
        </w:trPr>
        <w:tc>
          <w:tcPr>
            <w:tcW w:w="50" w:type="pct"/>
            <w:hideMark/>
          </w:tcPr>
          <w:p w14:paraId="02FC092B" w14:textId="77777777" w:rsidR="0089011F" w:rsidRDefault="0089011F">
            <w:pPr>
              <w:pStyle w:val="Bibliography"/>
              <w:rPr>
                <w:noProof/>
              </w:rPr>
            </w:pPr>
            <w:r>
              <w:rPr>
                <w:noProof/>
              </w:rPr>
              <w:t xml:space="preserve">[18] </w:t>
            </w:r>
          </w:p>
        </w:tc>
        <w:tc>
          <w:tcPr>
            <w:tcW w:w="0" w:type="auto"/>
            <w:hideMark/>
          </w:tcPr>
          <w:p w14:paraId="19F86D2C" w14:textId="77777777" w:rsidR="0089011F" w:rsidRDefault="0089011F">
            <w:pPr>
              <w:pStyle w:val="Bibliography"/>
              <w:rPr>
                <w:noProof/>
              </w:rPr>
            </w:pPr>
            <w:r>
              <w:rPr>
                <w:noProof/>
              </w:rPr>
              <w:t xml:space="preserve">H. Rabinowitz, J. Diamond, F. Markham and C. Hazelwood, “A program to increase the number of family physicians in rural and underserved areas,” </w:t>
            </w:r>
            <w:r>
              <w:rPr>
                <w:i/>
                <w:iCs/>
                <w:noProof/>
              </w:rPr>
              <w:t xml:space="preserve">JAMA, </w:t>
            </w:r>
            <w:r>
              <w:rPr>
                <w:noProof/>
              </w:rPr>
              <w:t xml:space="preserve">vol. 281, pp. 255-260, 1999. </w:t>
            </w:r>
          </w:p>
        </w:tc>
      </w:tr>
      <w:tr w:rsidR="0089011F" w14:paraId="3CA676AC" w14:textId="77777777" w:rsidTr="00CB1ECD">
        <w:trPr>
          <w:divId w:val="823667041"/>
        </w:trPr>
        <w:tc>
          <w:tcPr>
            <w:tcW w:w="50" w:type="pct"/>
            <w:hideMark/>
          </w:tcPr>
          <w:p w14:paraId="6F225C05" w14:textId="77777777" w:rsidR="0089011F" w:rsidRDefault="0089011F">
            <w:pPr>
              <w:pStyle w:val="Bibliography"/>
              <w:rPr>
                <w:noProof/>
              </w:rPr>
            </w:pPr>
            <w:r>
              <w:rPr>
                <w:noProof/>
              </w:rPr>
              <w:t xml:space="preserve">[19] </w:t>
            </w:r>
          </w:p>
        </w:tc>
        <w:tc>
          <w:tcPr>
            <w:tcW w:w="0" w:type="auto"/>
            <w:hideMark/>
          </w:tcPr>
          <w:p w14:paraId="143126B4" w14:textId="77777777" w:rsidR="0089011F" w:rsidRDefault="0089011F">
            <w:pPr>
              <w:pStyle w:val="Bibliography"/>
              <w:rPr>
                <w:noProof/>
              </w:rPr>
            </w:pPr>
            <w:r>
              <w:rPr>
                <w:noProof/>
              </w:rPr>
              <w:t xml:space="preserve">J. Humphreys, J. Wakerman, R. Wells, P. Kuipers, J. Jones, P. Entwistle and P. Harvey, “Improving primary health care workforce retention in small rural and remote communities: how important is ongoing education </w:t>
            </w:r>
            <w:r>
              <w:rPr>
                <w:noProof/>
              </w:rPr>
              <w:lastRenderedPageBreak/>
              <w:t>and training?,” Australian Primary Health Care Research Institute, Canberra, 2007.</w:t>
            </w:r>
          </w:p>
        </w:tc>
      </w:tr>
      <w:tr w:rsidR="0089011F" w14:paraId="09B38696" w14:textId="77777777" w:rsidTr="00CB1ECD">
        <w:trPr>
          <w:divId w:val="823667041"/>
        </w:trPr>
        <w:tc>
          <w:tcPr>
            <w:tcW w:w="50" w:type="pct"/>
            <w:hideMark/>
          </w:tcPr>
          <w:p w14:paraId="59236F90" w14:textId="77777777" w:rsidR="0089011F" w:rsidRDefault="0089011F">
            <w:pPr>
              <w:pStyle w:val="Bibliography"/>
              <w:rPr>
                <w:noProof/>
              </w:rPr>
            </w:pPr>
            <w:r>
              <w:rPr>
                <w:noProof/>
              </w:rPr>
              <w:lastRenderedPageBreak/>
              <w:t xml:space="preserve">[20] </w:t>
            </w:r>
          </w:p>
        </w:tc>
        <w:tc>
          <w:tcPr>
            <w:tcW w:w="0" w:type="auto"/>
            <w:hideMark/>
          </w:tcPr>
          <w:p w14:paraId="3F7BC14D" w14:textId="77777777" w:rsidR="0089011F" w:rsidRDefault="0089011F">
            <w:pPr>
              <w:pStyle w:val="Bibliography"/>
              <w:rPr>
                <w:noProof/>
              </w:rPr>
            </w:pPr>
            <w:r>
              <w:rPr>
                <w:noProof/>
              </w:rPr>
              <w:t>The Pharmacy Guild of Australia, “6th Community Pharmacy Agreement, Rural Intern Training Allowance Programme Specific Guidelines,” 2015. [Online]. Available: http://6cpa.com.au/rural-support-programmes/rural-intern-training-allowance/.</w:t>
            </w:r>
          </w:p>
        </w:tc>
      </w:tr>
      <w:tr w:rsidR="0089011F" w14:paraId="2CB55F47" w14:textId="77777777" w:rsidTr="00CB1ECD">
        <w:trPr>
          <w:divId w:val="823667041"/>
        </w:trPr>
        <w:tc>
          <w:tcPr>
            <w:tcW w:w="50" w:type="pct"/>
            <w:hideMark/>
          </w:tcPr>
          <w:p w14:paraId="473ED347" w14:textId="77777777" w:rsidR="0089011F" w:rsidRDefault="0089011F">
            <w:pPr>
              <w:pStyle w:val="Bibliography"/>
              <w:rPr>
                <w:noProof/>
              </w:rPr>
            </w:pPr>
            <w:r>
              <w:rPr>
                <w:noProof/>
              </w:rPr>
              <w:t xml:space="preserve">[21] </w:t>
            </w:r>
          </w:p>
        </w:tc>
        <w:tc>
          <w:tcPr>
            <w:tcW w:w="0" w:type="auto"/>
            <w:hideMark/>
          </w:tcPr>
          <w:p w14:paraId="503C19C4" w14:textId="77777777" w:rsidR="0089011F" w:rsidRDefault="0089011F">
            <w:pPr>
              <w:pStyle w:val="Bibliography"/>
              <w:rPr>
                <w:noProof/>
              </w:rPr>
            </w:pPr>
            <w:r>
              <w:rPr>
                <w:noProof/>
              </w:rPr>
              <w:t xml:space="preserve">H. Peach, M. Trembath and B. Fensling, “A case for more year-long internships outside metropolitan areas?,” </w:t>
            </w:r>
            <w:r>
              <w:rPr>
                <w:i/>
                <w:iCs/>
                <w:noProof/>
              </w:rPr>
              <w:t xml:space="preserve">MJA, </w:t>
            </w:r>
            <w:r>
              <w:rPr>
                <w:noProof/>
              </w:rPr>
              <w:t xml:space="preserve">vol. 180, pp. 106-108, 2004. </w:t>
            </w:r>
          </w:p>
        </w:tc>
      </w:tr>
      <w:tr w:rsidR="0089011F" w14:paraId="28516874" w14:textId="77777777" w:rsidTr="00CB1ECD">
        <w:trPr>
          <w:divId w:val="823667041"/>
        </w:trPr>
        <w:tc>
          <w:tcPr>
            <w:tcW w:w="50" w:type="pct"/>
            <w:hideMark/>
          </w:tcPr>
          <w:p w14:paraId="4514EFEC" w14:textId="77777777" w:rsidR="0089011F" w:rsidRDefault="0089011F">
            <w:pPr>
              <w:pStyle w:val="Bibliography"/>
              <w:rPr>
                <w:noProof/>
              </w:rPr>
            </w:pPr>
            <w:r>
              <w:rPr>
                <w:noProof/>
              </w:rPr>
              <w:t xml:space="preserve">[22] </w:t>
            </w:r>
          </w:p>
        </w:tc>
        <w:tc>
          <w:tcPr>
            <w:tcW w:w="0" w:type="auto"/>
            <w:hideMark/>
          </w:tcPr>
          <w:p w14:paraId="4F45155D" w14:textId="77777777" w:rsidR="0089011F" w:rsidRDefault="0089011F">
            <w:pPr>
              <w:pStyle w:val="Bibliography"/>
              <w:rPr>
                <w:noProof/>
              </w:rPr>
            </w:pPr>
            <w:r>
              <w:rPr>
                <w:noProof/>
              </w:rPr>
              <w:t xml:space="preserve">C. Fleming and M. Spark, “Factor influencing the selection of rural practice locations for early career pharmacists in Victoria,” </w:t>
            </w:r>
            <w:r>
              <w:rPr>
                <w:i/>
                <w:iCs/>
                <w:noProof/>
              </w:rPr>
              <w:t xml:space="preserve">Australian Journal of Rural Health, </w:t>
            </w:r>
            <w:r>
              <w:rPr>
                <w:noProof/>
              </w:rPr>
              <w:t xml:space="preserve">vol. 19, pp. 290-297, 2011. </w:t>
            </w:r>
          </w:p>
        </w:tc>
      </w:tr>
      <w:tr w:rsidR="0089011F" w14:paraId="3D4C3AD8" w14:textId="77777777" w:rsidTr="00CB1ECD">
        <w:trPr>
          <w:divId w:val="823667041"/>
        </w:trPr>
        <w:tc>
          <w:tcPr>
            <w:tcW w:w="50" w:type="pct"/>
            <w:hideMark/>
          </w:tcPr>
          <w:p w14:paraId="5620F18C" w14:textId="77777777" w:rsidR="0089011F" w:rsidRDefault="0089011F">
            <w:pPr>
              <w:pStyle w:val="Bibliography"/>
              <w:rPr>
                <w:noProof/>
              </w:rPr>
            </w:pPr>
            <w:r>
              <w:rPr>
                <w:noProof/>
              </w:rPr>
              <w:t xml:space="preserve">[23] </w:t>
            </w:r>
          </w:p>
        </w:tc>
        <w:tc>
          <w:tcPr>
            <w:tcW w:w="0" w:type="auto"/>
            <w:hideMark/>
          </w:tcPr>
          <w:p w14:paraId="48DF65AB" w14:textId="77777777" w:rsidR="0089011F" w:rsidRDefault="0089011F">
            <w:pPr>
              <w:pStyle w:val="Bibliography"/>
              <w:rPr>
                <w:noProof/>
              </w:rPr>
            </w:pPr>
            <w:r>
              <w:rPr>
                <w:noProof/>
              </w:rPr>
              <w:t>Department of Health, “National Health Workforce Dataset (NHWDS),” 2013-2015.</w:t>
            </w:r>
          </w:p>
        </w:tc>
      </w:tr>
      <w:tr w:rsidR="0089011F" w14:paraId="362EAD64" w14:textId="77777777" w:rsidTr="00CB1ECD">
        <w:trPr>
          <w:divId w:val="823667041"/>
        </w:trPr>
        <w:tc>
          <w:tcPr>
            <w:tcW w:w="50" w:type="pct"/>
            <w:hideMark/>
          </w:tcPr>
          <w:p w14:paraId="307A55A0" w14:textId="77777777" w:rsidR="0089011F" w:rsidRDefault="0089011F">
            <w:pPr>
              <w:pStyle w:val="Bibliography"/>
              <w:rPr>
                <w:noProof/>
              </w:rPr>
            </w:pPr>
            <w:r>
              <w:rPr>
                <w:noProof/>
              </w:rPr>
              <w:t xml:space="preserve">[24] </w:t>
            </w:r>
          </w:p>
        </w:tc>
        <w:tc>
          <w:tcPr>
            <w:tcW w:w="0" w:type="auto"/>
            <w:hideMark/>
          </w:tcPr>
          <w:p w14:paraId="603396D7" w14:textId="77777777" w:rsidR="0089011F" w:rsidRDefault="0089011F">
            <w:pPr>
              <w:pStyle w:val="Bibliography"/>
              <w:rPr>
                <w:noProof/>
              </w:rPr>
            </w:pPr>
            <w:r>
              <w:rPr>
                <w:noProof/>
              </w:rPr>
              <w:t xml:space="preserve">V. Curran, L. Rourke and P. Snow, “A framework for enhancing continuing medical education for rural physicians: a summary of the literature.,” </w:t>
            </w:r>
            <w:r>
              <w:rPr>
                <w:i/>
                <w:iCs/>
                <w:noProof/>
              </w:rPr>
              <w:t xml:space="preserve">Medical Teacher, </w:t>
            </w:r>
            <w:r>
              <w:rPr>
                <w:noProof/>
              </w:rPr>
              <w:t xml:space="preserve">vol. 32, no. 11, pp. e501-8, 2010. </w:t>
            </w:r>
          </w:p>
        </w:tc>
      </w:tr>
      <w:tr w:rsidR="0089011F" w14:paraId="52283B03" w14:textId="77777777" w:rsidTr="00CB1ECD">
        <w:trPr>
          <w:divId w:val="823667041"/>
        </w:trPr>
        <w:tc>
          <w:tcPr>
            <w:tcW w:w="50" w:type="pct"/>
            <w:hideMark/>
          </w:tcPr>
          <w:p w14:paraId="37BEB5C3" w14:textId="77777777" w:rsidR="0089011F" w:rsidRDefault="0089011F">
            <w:pPr>
              <w:pStyle w:val="Bibliography"/>
              <w:rPr>
                <w:noProof/>
              </w:rPr>
            </w:pPr>
            <w:r>
              <w:rPr>
                <w:noProof/>
              </w:rPr>
              <w:t xml:space="preserve">[25] </w:t>
            </w:r>
          </w:p>
        </w:tc>
        <w:tc>
          <w:tcPr>
            <w:tcW w:w="0" w:type="auto"/>
            <w:hideMark/>
          </w:tcPr>
          <w:p w14:paraId="2A4FCAEA" w14:textId="77777777" w:rsidR="0089011F" w:rsidRDefault="0089011F">
            <w:pPr>
              <w:pStyle w:val="Bibliography"/>
              <w:rPr>
                <w:noProof/>
              </w:rPr>
            </w:pPr>
            <w:r>
              <w:rPr>
                <w:noProof/>
              </w:rPr>
              <w:t xml:space="preserve">D. Godwin, H. Hoang, L. Crocombe and E. Bell, “Dental practitioner rural work movements: a systematic review,” </w:t>
            </w:r>
            <w:r>
              <w:rPr>
                <w:i/>
                <w:iCs/>
                <w:noProof/>
              </w:rPr>
              <w:t xml:space="preserve">Rural and Remote Health, </w:t>
            </w:r>
            <w:r>
              <w:rPr>
                <w:noProof/>
              </w:rPr>
              <w:t xml:space="preserve">vol. 14, no. 2825, 2013. </w:t>
            </w:r>
          </w:p>
        </w:tc>
      </w:tr>
      <w:tr w:rsidR="0089011F" w14:paraId="5EE8B3A7" w14:textId="77777777" w:rsidTr="00CB1ECD">
        <w:trPr>
          <w:divId w:val="823667041"/>
        </w:trPr>
        <w:tc>
          <w:tcPr>
            <w:tcW w:w="50" w:type="pct"/>
            <w:hideMark/>
          </w:tcPr>
          <w:p w14:paraId="6C6CD148" w14:textId="77777777" w:rsidR="0089011F" w:rsidRDefault="0089011F">
            <w:pPr>
              <w:pStyle w:val="Bibliography"/>
              <w:rPr>
                <w:noProof/>
              </w:rPr>
            </w:pPr>
            <w:r>
              <w:rPr>
                <w:noProof/>
              </w:rPr>
              <w:t xml:space="preserve">[26] </w:t>
            </w:r>
          </w:p>
        </w:tc>
        <w:tc>
          <w:tcPr>
            <w:tcW w:w="0" w:type="auto"/>
            <w:hideMark/>
          </w:tcPr>
          <w:p w14:paraId="25A5A647" w14:textId="77777777" w:rsidR="0089011F" w:rsidRDefault="0089011F">
            <w:pPr>
              <w:pStyle w:val="Bibliography"/>
              <w:rPr>
                <w:noProof/>
              </w:rPr>
            </w:pPr>
            <w:r>
              <w:rPr>
                <w:noProof/>
              </w:rPr>
              <w:t xml:space="preserve">T. Kotzee and I. Couper, “What interventions do South African qualified doctors think will retain them in rural hospitals of the Limpopo province of South Africa?,” </w:t>
            </w:r>
            <w:r>
              <w:rPr>
                <w:i/>
                <w:iCs/>
                <w:noProof/>
              </w:rPr>
              <w:t xml:space="preserve">Rural and Remote Health, </w:t>
            </w:r>
            <w:r>
              <w:rPr>
                <w:noProof/>
              </w:rPr>
              <w:t xml:space="preserve">vol. 6, no. 581, 2006. </w:t>
            </w:r>
          </w:p>
        </w:tc>
      </w:tr>
      <w:tr w:rsidR="0089011F" w14:paraId="5EF184E1" w14:textId="77777777" w:rsidTr="00CB1ECD">
        <w:trPr>
          <w:divId w:val="823667041"/>
        </w:trPr>
        <w:tc>
          <w:tcPr>
            <w:tcW w:w="50" w:type="pct"/>
            <w:hideMark/>
          </w:tcPr>
          <w:p w14:paraId="204100E9" w14:textId="77777777" w:rsidR="0089011F" w:rsidRDefault="0089011F">
            <w:pPr>
              <w:pStyle w:val="Bibliography"/>
              <w:rPr>
                <w:noProof/>
              </w:rPr>
            </w:pPr>
            <w:r>
              <w:rPr>
                <w:noProof/>
              </w:rPr>
              <w:t xml:space="preserve">[27] </w:t>
            </w:r>
          </w:p>
        </w:tc>
        <w:tc>
          <w:tcPr>
            <w:tcW w:w="0" w:type="auto"/>
            <w:hideMark/>
          </w:tcPr>
          <w:p w14:paraId="78CCAC0E" w14:textId="77777777" w:rsidR="0089011F" w:rsidRDefault="0089011F">
            <w:pPr>
              <w:pStyle w:val="Bibliography"/>
              <w:rPr>
                <w:noProof/>
              </w:rPr>
            </w:pPr>
            <w:r>
              <w:rPr>
                <w:noProof/>
              </w:rPr>
              <w:t>The Pharmacy Guild of Australia, “6th Community Pharmacy Agreement, Rural Pharmacy Student Placement Allowance Programme Specific Guidelines,” 2015. [Online]. Available: http://6cpa.com.au/rural-support-programmes/rural-intern-training-allowance/.</w:t>
            </w:r>
          </w:p>
        </w:tc>
      </w:tr>
      <w:tr w:rsidR="0089011F" w14:paraId="1F3C59CB" w14:textId="77777777" w:rsidTr="00CB1ECD">
        <w:trPr>
          <w:divId w:val="823667041"/>
        </w:trPr>
        <w:tc>
          <w:tcPr>
            <w:tcW w:w="50" w:type="pct"/>
            <w:hideMark/>
          </w:tcPr>
          <w:p w14:paraId="728385E0" w14:textId="77777777" w:rsidR="0089011F" w:rsidRDefault="0089011F">
            <w:pPr>
              <w:pStyle w:val="Bibliography"/>
              <w:rPr>
                <w:noProof/>
              </w:rPr>
            </w:pPr>
            <w:r>
              <w:rPr>
                <w:noProof/>
              </w:rPr>
              <w:t xml:space="preserve">[28] </w:t>
            </w:r>
          </w:p>
        </w:tc>
        <w:tc>
          <w:tcPr>
            <w:tcW w:w="0" w:type="auto"/>
            <w:hideMark/>
          </w:tcPr>
          <w:p w14:paraId="3AB3CFEC" w14:textId="77777777" w:rsidR="0089011F" w:rsidRDefault="0089011F">
            <w:pPr>
              <w:pStyle w:val="Bibliography"/>
              <w:rPr>
                <w:noProof/>
              </w:rPr>
            </w:pPr>
            <w:r>
              <w:rPr>
                <w:noProof/>
              </w:rPr>
              <w:t xml:space="preserve">The Pharmacy Guild of Australia, </w:t>
            </w:r>
            <w:r>
              <w:rPr>
                <w:i/>
                <w:iCs/>
                <w:noProof/>
              </w:rPr>
              <w:t xml:space="preserve">Placement Allowance and Admin Support to Pharmacy Schools data [unpublished], </w:t>
            </w:r>
            <w:r>
              <w:rPr>
                <w:noProof/>
              </w:rPr>
              <w:t xml:space="preserve">2014-2016. </w:t>
            </w:r>
          </w:p>
        </w:tc>
      </w:tr>
      <w:tr w:rsidR="0089011F" w14:paraId="7E00FB0C" w14:textId="77777777" w:rsidTr="00CB1ECD">
        <w:trPr>
          <w:divId w:val="823667041"/>
        </w:trPr>
        <w:tc>
          <w:tcPr>
            <w:tcW w:w="50" w:type="pct"/>
            <w:hideMark/>
          </w:tcPr>
          <w:p w14:paraId="694D780A" w14:textId="77777777" w:rsidR="0089011F" w:rsidRDefault="0089011F">
            <w:pPr>
              <w:pStyle w:val="Bibliography"/>
              <w:rPr>
                <w:noProof/>
              </w:rPr>
            </w:pPr>
            <w:r>
              <w:rPr>
                <w:noProof/>
              </w:rPr>
              <w:t xml:space="preserve">[29] </w:t>
            </w:r>
          </w:p>
        </w:tc>
        <w:tc>
          <w:tcPr>
            <w:tcW w:w="0" w:type="auto"/>
            <w:hideMark/>
          </w:tcPr>
          <w:p w14:paraId="5C0319C8" w14:textId="77777777" w:rsidR="0089011F" w:rsidRDefault="0089011F">
            <w:pPr>
              <w:pStyle w:val="Bibliography"/>
              <w:rPr>
                <w:noProof/>
              </w:rPr>
            </w:pPr>
            <w:r>
              <w:rPr>
                <w:noProof/>
              </w:rPr>
              <w:t xml:space="preserve">D. Playford, A. Larson and B. Wheatland, “Going country: Rural student placement factors associated with future rural employment in nursing and allied health,” </w:t>
            </w:r>
            <w:r>
              <w:rPr>
                <w:i/>
                <w:iCs/>
                <w:noProof/>
              </w:rPr>
              <w:t xml:space="preserve">Australian Journal of Rural Health, </w:t>
            </w:r>
            <w:r>
              <w:rPr>
                <w:noProof/>
              </w:rPr>
              <w:t xml:space="preserve">vol. 14, pp. 14-19, 2006. </w:t>
            </w:r>
          </w:p>
        </w:tc>
      </w:tr>
      <w:tr w:rsidR="0089011F" w14:paraId="1F8A9DE0" w14:textId="77777777" w:rsidTr="00CB1ECD">
        <w:trPr>
          <w:divId w:val="823667041"/>
        </w:trPr>
        <w:tc>
          <w:tcPr>
            <w:tcW w:w="50" w:type="pct"/>
            <w:hideMark/>
          </w:tcPr>
          <w:p w14:paraId="06AC030F" w14:textId="77777777" w:rsidR="0089011F" w:rsidRDefault="0089011F">
            <w:pPr>
              <w:pStyle w:val="Bibliography"/>
              <w:rPr>
                <w:noProof/>
              </w:rPr>
            </w:pPr>
            <w:r>
              <w:rPr>
                <w:noProof/>
              </w:rPr>
              <w:t xml:space="preserve">[30] </w:t>
            </w:r>
          </w:p>
        </w:tc>
        <w:tc>
          <w:tcPr>
            <w:tcW w:w="0" w:type="auto"/>
            <w:hideMark/>
          </w:tcPr>
          <w:p w14:paraId="0FFE0821" w14:textId="77777777" w:rsidR="0089011F" w:rsidRDefault="0089011F">
            <w:pPr>
              <w:pStyle w:val="Bibliography"/>
              <w:rPr>
                <w:noProof/>
              </w:rPr>
            </w:pPr>
            <w:r>
              <w:rPr>
                <w:noProof/>
              </w:rPr>
              <w:t xml:space="preserve">L. Dalton, G. Routley and K. Peek, “Rural placements in Tasmania: do experiential placements and background influence undergraduate health science student's attitudes toward rural practice?,” </w:t>
            </w:r>
            <w:r>
              <w:rPr>
                <w:i/>
                <w:iCs/>
                <w:noProof/>
              </w:rPr>
              <w:t xml:space="preserve">Rural and Remote Health, </w:t>
            </w:r>
            <w:r>
              <w:rPr>
                <w:noProof/>
              </w:rPr>
              <w:t xml:space="preserve">vol. 8, no. 962, 2008. </w:t>
            </w:r>
          </w:p>
        </w:tc>
      </w:tr>
      <w:tr w:rsidR="0089011F" w14:paraId="31C49355" w14:textId="77777777" w:rsidTr="00CB1ECD">
        <w:trPr>
          <w:divId w:val="823667041"/>
        </w:trPr>
        <w:tc>
          <w:tcPr>
            <w:tcW w:w="50" w:type="pct"/>
            <w:hideMark/>
          </w:tcPr>
          <w:p w14:paraId="23D76395" w14:textId="77777777" w:rsidR="0089011F" w:rsidRDefault="0089011F">
            <w:pPr>
              <w:pStyle w:val="Bibliography"/>
              <w:rPr>
                <w:noProof/>
              </w:rPr>
            </w:pPr>
            <w:r>
              <w:rPr>
                <w:noProof/>
              </w:rPr>
              <w:t xml:space="preserve">[31] </w:t>
            </w:r>
          </w:p>
        </w:tc>
        <w:tc>
          <w:tcPr>
            <w:tcW w:w="0" w:type="auto"/>
            <w:hideMark/>
          </w:tcPr>
          <w:p w14:paraId="1914105E" w14:textId="77777777" w:rsidR="0089011F" w:rsidRDefault="0089011F">
            <w:pPr>
              <w:pStyle w:val="Bibliography"/>
              <w:rPr>
                <w:noProof/>
              </w:rPr>
            </w:pPr>
            <w:r>
              <w:rPr>
                <w:noProof/>
              </w:rPr>
              <w:t>The Pharmacy Guild of Australia, “6th Community Pharmacy Agreement, Continuing Professional Education Programme Specific Guidelines,” 2015. [Online]. Available: http://6cpa.com.au/rural-support-programmes/continuing-professional-education/.</w:t>
            </w:r>
          </w:p>
        </w:tc>
      </w:tr>
      <w:tr w:rsidR="0089011F" w14:paraId="70DEEAB1" w14:textId="77777777" w:rsidTr="00CB1ECD">
        <w:trPr>
          <w:divId w:val="823667041"/>
        </w:trPr>
        <w:tc>
          <w:tcPr>
            <w:tcW w:w="50" w:type="pct"/>
            <w:hideMark/>
          </w:tcPr>
          <w:p w14:paraId="5D54EBA9" w14:textId="77777777" w:rsidR="0089011F" w:rsidRDefault="0089011F">
            <w:pPr>
              <w:pStyle w:val="Bibliography"/>
              <w:rPr>
                <w:noProof/>
              </w:rPr>
            </w:pPr>
            <w:r>
              <w:rPr>
                <w:noProof/>
              </w:rPr>
              <w:t xml:space="preserve">[32] </w:t>
            </w:r>
          </w:p>
        </w:tc>
        <w:tc>
          <w:tcPr>
            <w:tcW w:w="0" w:type="auto"/>
            <w:hideMark/>
          </w:tcPr>
          <w:p w14:paraId="1DE18CAF" w14:textId="77777777" w:rsidR="0089011F" w:rsidRDefault="0089011F">
            <w:pPr>
              <w:pStyle w:val="Bibliography"/>
              <w:rPr>
                <w:noProof/>
              </w:rPr>
            </w:pPr>
            <w:r>
              <w:rPr>
                <w:noProof/>
              </w:rPr>
              <w:t xml:space="preserve">R. Glazebrook and S. Harrison, “Obstacles to maintenance of advanced procedural skills for rural and remote medical practitioners in Australia,” </w:t>
            </w:r>
            <w:r>
              <w:rPr>
                <w:i/>
                <w:iCs/>
                <w:noProof/>
              </w:rPr>
              <w:t xml:space="preserve">Rural and Remote Health, </w:t>
            </w:r>
            <w:r>
              <w:rPr>
                <w:noProof/>
              </w:rPr>
              <w:t xml:space="preserve">vol. 6, no. 502, 2006. </w:t>
            </w:r>
          </w:p>
        </w:tc>
      </w:tr>
      <w:tr w:rsidR="0089011F" w14:paraId="322BDBC5" w14:textId="77777777" w:rsidTr="00CB1ECD">
        <w:trPr>
          <w:divId w:val="823667041"/>
        </w:trPr>
        <w:tc>
          <w:tcPr>
            <w:tcW w:w="50" w:type="pct"/>
            <w:hideMark/>
          </w:tcPr>
          <w:p w14:paraId="32DE6F54" w14:textId="77777777" w:rsidR="0089011F" w:rsidRDefault="0089011F">
            <w:pPr>
              <w:pStyle w:val="Bibliography"/>
              <w:rPr>
                <w:noProof/>
              </w:rPr>
            </w:pPr>
            <w:r>
              <w:rPr>
                <w:noProof/>
              </w:rPr>
              <w:t xml:space="preserve">[33] </w:t>
            </w:r>
          </w:p>
        </w:tc>
        <w:tc>
          <w:tcPr>
            <w:tcW w:w="0" w:type="auto"/>
            <w:hideMark/>
          </w:tcPr>
          <w:p w14:paraId="1A61BA11" w14:textId="77777777" w:rsidR="0089011F" w:rsidRDefault="0089011F">
            <w:pPr>
              <w:pStyle w:val="Bibliography"/>
              <w:rPr>
                <w:noProof/>
              </w:rPr>
            </w:pPr>
            <w:r>
              <w:rPr>
                <w:noProof/>
              </w:rPr>
              <w:t>Council of Presidents of Medical Colleges , “Support for Rural Specialists in Australia,” 2017. [Online]. Available: http://ruralspecialist.org.au/. [Accessed 2017].</w:t>
            </w:r>
          </w:p>
        </w:tc>
      </w:tr>
      <w:tr w:rsidR="0089011F" w14:paraId="6AB6173C" w14:textId="77777777" w:rsidTr="00CB1ECD">
        <w:trPr>
          <w:divId w:val="823667041"/>
        </w:trPr>
        <w:tc>
          <w:tcPr>
            <w:tcW w:w="50" w:type="pct"/>
            <w:hideMark/>
          </w:tcPr>
          <w:p w14:paraId="579AD3E1" w14:textId="77777777" w:rsidR="0089011F" w:rsidRDefault="0089011F">
            <w:pPr>
              <w:pStyle w:val="Bibliography"/>
              <w:rPr>
                <w:noProof/>
              </w:rPr>
            </w:pPr>
            <w:r>
              <w:rPr>
                <w:noProof/>
              </w:rPr>
              <w:t xml:space="preserve">[34] </w:t>
            </w:r>
          </w:p>
        </w:tc>
        <w:tc>
          <w:tcPr>
            <w:tcW w:w="0" w:type="auto"/>
            <w:hideMark/>
          </w:tcPr>
          <w:p w14:paraId="69BF4B3B" w14:textId="77777777" w:rsidR="0089011F" w:rsidRDefault="0089011F">
            <w:pPr>
              <w:pStyle w:val="Bibliography"/>
              <w:rPr>
                <w:noProof/>
              </w:rPr>
            </w:pPr>
            <w:r>
              <w:rPr>
                <w:noProof/>
              </w:rPr>
              <w:t>Rural Locum Assistance Program , “Rural LAP,” 2017. [Online]. Available: https://www.rurallap.com.au/the-rurallap-difference. [Accessed 2017].</w:t>
            </w:r>
          </w:p>
        </w:tc>
      </w:tr>
      <w:tr w:rsidR="0089011F" w14:paraId="14268669" w14:textId="77777777" w:rsidTr="00CB1ECD">
        <w:trPr>
          <w:divId w:val="823667041"/>
        </w:trPr>
        <w:tc>
          <w:tcPr>
            <w:tcW w:w="50" w:type="pct"/>
            <w:hideMark/>
          </w:tcPr>
          <w:p w14:paraId="66A63BDA" w14:textId="77777777" w:rsidR="0089011F" w:rsidRDefault="0089011F">
            <w:pPr>
              <w:pStyle w:val="Bibliography"/>
              <w:rPr>
                <w:noProof/>
              </w:rPr>
            </w:pPr>
            <w:r>
              <w:rPr>
                <w:noProof/>
              </w:rPr>
              <w:t xml:space="preserve">[35] </w:t>
            </w:r>
          </w:p>
        </w:tc>
        <w:tc>
          <w:tcPr>
            <w:tcW w:w="0" w:type="auto"/>
            <w:hideMark/>
          </w:tcPr>
          <w:p w14:paraId="1252F8FC" w14:textId="77777777" w:rsidR="0089011F" w:rsidRDefault="0089011F">
            <w:pPr>
              <w:pStyle w:val="Bibliography"/>
              <w:rPr>
                <w:noProof/>
              </w:rPr>
            </w:pPr>
            <w:r>
              <w:rPr>
                <w:noProof/>
              </w:rPr>
              <w:t>The Pharmacy Guild of Australia, “6th Community Pharmacy Agreement, Emegency Locum Service Programme Specific Guidelines,” 2015. [Online]. Available: http://6cpa.com.au/rural-support-programmes/emergency-locum-service/.</w:t>
            </w:r>
          </w:p>
        </w:tc>
      </w:tr>
      <w:tr w:rsidR="0089011F" w14:paraId="0954AF67" w14:textId="77777777" w:rsidTr="00CB1ECD">
        <w:trPr>
          <w:divId w:val="823667041"/>
        </w:trPr>
        <w:tc>
          <w:tcPr>
            <w:tcW w:w="50" w:type="pct"/>
            <w:hideMark/>
          </w:tcPr>
          <w:p w14:paraId="24FF19BA" w14:textId="77777777" w:rsidR="0089011F" w:rsidRDefault="0089011F">
            <w:pPr>
              <w:pStyle w:val="Bibliography"/>
              <w:rPr>
                <w:noProof/>
              </w:rPr>
            </w:pPr>
            <w:r>
              <w:rPr>
                <w:noProof/>
              </w:rPr>
              <w:t xml:space="preserve">[36] </w:t>
            </w:r>
          </w:p>
        </w:tc>
        <w:tc>
          <w:tcPr>
            <w:tcW w:w="0" w:type="auto"/>
            <w:hideMark/>
          </w:tcPr>
          <w:p w14:paraId="698AB528" w14:textId="77777777" w:rsidR="0089011F" w:rsidRDefault="0089011F">
            <w:pPr>
              <w:pStyle w:val="Bibliography"/>
              <w:rPr>
                <w:noProof/>
              </w:rPr>
            </w:pPr>
            <w:r>
              <w:rPr>
                <w:noProof/>
              </w:rPr>
              <w:t xml:space="preserve">The Pharmacy Guild of Australia, </w:t>
            </w:r>
            <w:r>
              <w:rPr>
                <w:i/>
                <w:iCs/>
                <w:noProof/>
              </w:rPr>
              <w:t xml:space="preserve">Emergency Lcoum Service program data [unpublished], </w:t>
            </w:r>
            <w:r>
              <w:rPr>
                <w:noProof/>
              </w:rPr>
              <w:t xml:space="preserve">2014-2016. </w:t>
            </w:r>
          </w:p>
        </w:tc>
      </w:tr>
      <w:tr w:rsidR="0089011F" w14:paraId="43978E12" w14:textId="77777777" w:rsidTr="00CB1ECD">
        <w:trPr>
          <w:divId w:val="823667041"/>
        </w:trPr>
        <w:tc>
          <w:tcPr>
            <w:tcW w:w="50" w:type="pct"/>
            <w:hideMark/>
          </w:tcPr>
          <w:p w14:paraId="10D9BD2A" w14:textId="77777777" w:rsidR="0089011F" w:rsidRDefault="0089011F">
            <w:pPr>
              <w:pStyle w:val="Bibliography"/>
              <w:rPr>
                <w:noProof/>
              </w:rPr>
            </w:pPr>
            <w:r>
              <w:rPr>
                <w:noProof/>
              </w:rPr>
              <w:t xml:space="preserve">[37] </w:t>
            </w:r>
          </w:p>
        </w:tc>
        <w:tc>
          <w:tcPr>
            <w:tcW w:w="0" w:type="auto"/>
            <w:hideMark/>
          </w:tcPr>
          <w:p w14:paraId="0C3AB752" w14:textId="77777777" w:rsidR="0089011F" w:rsidRDefault="0089011F">
            <w:pPr>
              <w:pStyle w:val="Bibliography"/>
              <w:rPr>
                <w:noProof/>
              </w:rPr>
            </w:pPr>
            <w:r>
              <w:rPr>
                <w:noProof/>
              </w:rPr>
              <w:t xml:space="preserve">E. Kruger and M. Tennant, “Oral health workforce in rural and remote Western Australia: Practice perceptions,” </w:t>
            </w:r>
            <w:r>
              <w:rPr>
                <w:i/>
                <w:iCs/>
                <w:noProof/>
              </w:rPr>
              <w:t xml:space="preserve">Australian Journal of Rural Health, </w:t>
            </w:r>
            <w:r>
              <w:rPr>
                <w:noProof/>
              </w:rPr>
              <w:t xml:space="preserve">vol. 13, pp. 321-326, 2005. </w:t>
            </w:r>
          </w:p>
        </w:tc>
      </w:tr>
      <w:tr w:rsidR="0089011F" w14:paraId="0DE2DFF0" w14:textId="77777777" w:rsidTr="00CB1ECD">
        <w:trPr>
          <w:divId w:val="823667041"/>
        </w:trPr>
        <w:tc>
          <w:tcPr>
            <w:tcW w:w="50" w:type="pct"/>
            <w:hideMark/>
          </w:tcPr>
          <w:p w14:paraId="283214BE" w14:textId="77777777" w:rsidR="0089011F" w:rsidRDefault="0089011F">
            <w:pPr>
              <w:pStyle w:val="Bibliography"/>
              <w:rPr>
                <w:noProof/>
              </w:rPr>
            </w:pPr>
            <w:r>
              <w:rPr>
                <w:noProof/>
              </w:rPr>
              <w:t xml:space="preserve">[38] </w:t>
            </w:r>
          </w:p>
        </w:tc>
        <w:tc>
          <w:tcPr>
            <w:tcW w:w="0" w:type="auto"/>
            <w:hideMark/>
          </w:tcPr>
          <w:p w14:paraId="24528C73" w14:textId="77777777" w:rsidR="0089011F" w:rsidRDefault="0089011F">
            <w:pPr>
              <w:pStyle w:val="Bibliography"/>
              <w:rPr>
                <w:noProof/>
              </w:rPr>
            </w:pPr>
            <w:r>
              <w:rPr>
                <w:noProof/>
              </w:rPr>
              <w:t xml:space="preserve">F. Hoyal, “Retention of rural doctors,” </w:t>
            </w:r>
            <w:r>
              <w:rPr>
                <w:i/>
                <w:iCs/>
                <w:noProof/>
              </w:rPr>
              <w:t xml:space="preserve">Australian Journal of Rural Health, </w:t>
            </w:r>
            <w:r>
              <w:rPr>
                <w:noProof/>
              </w:rPr>
              <w:t xml:space="preserve">vol. 3, pp. 2-9, 1995. </w:t>
            </w:r>
          </w:p>
        </w:tc>
      </w:tr>
      <w:tr w:rsidR="0089011F" w14:paraId="6B3F73D5" w14:textId="77777777" w:rsidTr="00CB1ECD">
        <w:trPr>
          <w:divId w:val="823667041"/>
        </w:trPr>
        <w:tc>
          <w:tcPr>
            <w:tcW w:w="50" w:type="pct"/>
            <w:hideMark/>
          </w:tcPr>
          <w:p w14:paraId="53B5AA97" w14:textId="77777777" w:rsidR="0089011F" w:rsidRDefault="0089011F">
            <w:pPr>
              <w:pStyle w:val="Bibliography"/>
              <w:rPr>
                <w:noProof/>
              </w:rPr>
            </w:pPr>
            <w:r>
              <w:rPr>
                <w:noProof/>
              </w:rPr>
              <w:t xml:space="preserve">[39] </w:t>
            </w:r>
          </w:p>
        </w:tc>
        <w:tc>
          <w:tcPr>
            <w:tcW w:w="0" w:type="auto"/>
            <w:hideMark/>
          </w:tcPr>
          <w:p w14:paraId="7B5E49BB" w14:textId="77777777" w:rsidR="0089011F" w:rsidRDefault="0089011F">
            <w:pPr>
              <w:pStyle w:val="Bibliography"/>
              <w:rPr>
                <w:noProof/>
              </w:rPr>
            </w:pPr>
            <w:r>
              <w:rPr>
                <w:noProof/>
              </w:rPr>
              <w:t xml:space="preserve">M. Kamien, “Staying in or leaving rural practce: 1996 outcomes of rural doctors' 1986 intentions,” </w:t>
            </w:r>
            <w:r>
              <w:rPr>
                <w:i/>
                <w:iCs/>
                <w:noProof/>
              </w:rPr>
              <w:t xml:space="preserve">Medical Journal of Australia, </w:t>
            </w:r>
            <w:r>
              <w:rPr>
                <w:noProof/>
              </w:rPr>
              <w:t xml:space="preserve">vol. 169, pp. 318-21, 1998. </w:t>
            </w:r>
          </w:p>
        </w:tc>
      </w:tr>
      <w:tr w:rsidR="0089011F" w14:paraId="6344BC2B" w14:textId="77777777" w:rsidTr="00CB1ECD">
        <w:trPr>
          <w:divId w:val="823667041"/>
        </w:trPr>
        <w:tc>
          <w:tcPr>
            <w:tcW w:w="50" w:type="pct"/>
            <w:hideMark/>
          </w:tcPr>
          <w:p w14:paraId="7C4B979B" w14:textId="77777777" w:rsidR="0089011F" w:rsidRDefault="0089011F">
            <w:pPr>
              <w:pStyle w:val="Bibliography"/>
              <w:rPr>
                <w:noProof/>
              </w:rPr>
            </w:pPr>
            <w:r>
              <w:rPr>
                <w:noProof/>
              </w:rPr>
              <w:lastRenderedPageBreak/>
              <w:t xml:space="preserve">[40] </w:t>
            </w:r>
          </w:p>
        </w:tc>
        <w:tc>
          <w:tcPr>
            <w:tcW w:w="0" w:type="auto"/>
            <w:hideMark/>
          </w:tcPr>
          <w:p w14:paraId="7B03FE6E" w14:textId="77777777" w:rsidR="0089011F" w:rsidRDefault="0089011F">
            <w:pPr>
              <w:pStyle w:val="Bibliography"/>
              <w:rPr>
                <w:noProof/>
              </w:rPr>
            </w:pPr>
            <w:r>
              <w:rPr>
                <w:noProof/>
              </w:rPr>
              <w:t xml:space="preserve">K. Stagnitti, A. Schoo, C. Ried and J. Dunbar, “Retention of allied health professionals in the south-west of Victoria,” </w:t>
            </w:r>
            <w:r>
              <w:rPr>
                <w:i/>
                <w:iCs/>
                <w:noProof/>
              </w:rPr>
              <w:t xml:space="preserve">Australian Journal of Rural Health, </w:t>
            </w:r>
            <w:r>
              <w:rPr>
                <w:noProof/>
              </w:rPr>
              <w:t xml:space="preserve">vol. 13, pp. 364-365, 2005. </w:t>
            </w:r>
          </w:p>
        </w:tc>
      </w:tr>
      <w:tr w:rsidR="0089011F" w14:paraId="65413016" w14:textId="77777777" w:rsidTr="00CB1ECD">
        <w:trPr>
          <w:divId w:val="823667041"/>
        </w:trPr>
        <w:tc>
          <w:tcPr>
            <w:tcW w:w="50" w:type="pct"/>
            <w:hideMark/>
          </w:tcPr>
          <w:p w14:paraId="5EF3A159" w14:textId="77777777" w:rsidR="0089011F" w:rsidRDefault="0089011F">
            <w:pPr>
              <w:pStyle w:val="Bibliography"/>
              <w:rPr>
                <w:noProof/>
              </w:rPr>
            </w:pPr>
            <w:r>
              <w:rPr>
                <w:noProof/>
              </w:rPr>
              <w:t xml:space="preserve">[41] </w:t>
            </w:r>
          </w:p>
        </w:tc>
        <w:tc>
          <w:tcPr>
            <w:tcW w:w="0" w:type="auto"/>
            <w:hideMark/>
          </w:tcPr>
          <w:p w14:paraId="4381CA78" w14:textId="77777777" w:rsidR="0089011F" w:rsidRDefault="0089011F">
            <w:pPr>
              <w:pStyle w:val="Bibliography"/>
              <w:rPr>
                <w:noProof/>
              </w:rPr>
            </w:pPr>
            <w:r>
              <w:rPr>
                <w:noProof/>
              </w:rPr>
              <w:t>The Pharmacy Guild of Australia, “6th Community Pharmacy Agreement, Intern Incentive Allowance for Rural Pharmacies - Extension Programme Programme Specific Guidelines,” 2015. [Online]. Available: http://6cpa.com.au/rural-support-programmes/intern-incentive-allowance-for-rural-pharmacies/.</w:t>
            </w:r>
          </w:p>
        </w:tc>
      </w:tr>
      <w:tr w:rsidR="0089011F" w14:paraId="650854E5" w14:textId="77777777" w:rsidTr="00CB1ECD">
        <w:trPr>
          <w:divId w:val="823667041"/>
        </w:trPr>
        <w:tc>
          <w:tcPr>
            <w:tcW w:w="50" w:type="pct"/>
            <w:hideMark/>
          </w:tcPr>
          <w:p w14:paraId="10DEBBAC" w14:textId="77777777" w:rsidR="0089011F" w:rsidRDefault="0089011F">
            <w:pPr>
              <w:pStyle w:val="Bibliography"/>
              <w:rPr>
                <w:noProof/>
              </w:rPr>
            </w:pPr>
            <w:r>
              <w:rPr>
                <w:noProof/>
              </w:rPr>
              <w:t xml:space="preserve">[42] </w:t>
            </w:r>
          </w:p>
        </w:tc>
        <w:tc>
          <w:tcPr>
            <w:tcW w:w="0" w:type="auto"/>
            <w:hideMark/>
          </w:tcPr>
          <w:p w14:paraId="4BD27CBE" w14:textId="77777777" w:rsidR="0089011F" w:rsidRDefault="0089011F">
            <w:pPr>
              <w:pStyle w:val="Bibliography"/>
              <w:rPr>
                <w:noProof/>
              </w:rPr>
            </w:pPr>
            <w:r>
              <w:rPr>
                <w:noProof/>
              </w:rPr>
              <w:t>The Pharmacy Guild of Australia, “6th Community Pharmacy Agreement, Intern Incentive Allowance for Rural Pharmacies Programme Specific Guidelines,” 2015. [Online]. Available: http://6cpa.com.au/rural-support-programmes/intern-incentive-allowance-for-rural-pharmacies/.</w:t>
            </w:r>
          </w:p>
        </w:tc>
      </w:tr>
      <w:tr w:rsidR="0089011F" w14:paraId="2EF512F3" w14:textId="77777777" w:rsidTr="00CB1ECD">
        <w:trPr>
          <w:divId w:val="823667041"/>
        </w:trPr>
        <w:tc>
          <w:tcPr>
            <w:tcW w:w="50" w:type="pct"/>
            <w:hideMark/>
          </w:tcPr>
          <w:p w14:paraId="0BADC729" w14:textId="77777777" w:rsidR="0089011F" w:rsidRDefault="0089011F">
            <w:pPr>
              <w:pStyle w:val="Bibliography"/>
              <w:rPr>
                <w:noProof/>
              </w:rPr>
            </w:pPr>
            <w:r>
              <w:rPr>
                <w:noProof/>
              </w:rPr>
              <w:t xml:space="preserve">[43] </w:t>
            </w:r>
          </w:p>
        </w:tc>
        <w:tc>
          <w:tcPr>
            <w:tcW w:w="0" w:type="auto"/>
            <w:hideMark/>
          </w:tcPr>
          <w:p w14:paraId="24BE2DF0" w14:textId="77777777" w:rsidR="0089011F" w:rsidRDefault="0089011F">
            <w:pPr>
              <w:pStyle w:val="Bibliography"/>
              <w:rPr>
                <w:noProof/>
              </w:rPr>
            </w:pPr>
            <w:r>
              <w:rPr>
                <w:noProof/>
              </w:rPr>
              <w:t>The Pharmacy Guild of Australia, “6th Community Pharmacy Agreement, Rural Pharmacy Liaison Officer (RPLO) Programme Specific Guidelines,” 2015. [Online]. Available: http://6cpa.com.au/rural-support-programmes/rural-pharmacy-liaison-officer/.</w:t>
            </w:r>
          </w:p>
        </w:tc>
      </w:tr>
      <w:tr w:rsidR="0089011F" w14:paraId="49C10749" w14:textId="77777777" w:rsidTr="00CB1ECD">
        <w:trPr>
          <w:divId w:val="823667041"/>
        </w:trPr>
        <w:tc>
          <w:tcPr>
            <w:tcW w:w="50" w:type="pct"/>
            <w:hideMark/>
          </w:tcPr>
          <w:p w14:paraId="0AE4C80D" w14:textId="77777777" w:rsidR="0089011F" w:rsidRDefault="0089011F">
            <w:pPr>
              <w:pStyle w:val="Bibliography"/>
              <w:rPr>
                <w:noProof/>
              </w:rPr>
            </w:pPr>
            <w:r>
              <w:rPr>
                <w:noProof/>
              </w:rPr>
              <w:t xml:space="preserve">[44] </w:t>
            </w:r>
          </w:p>
        </w:tc>
        <w:tc>
          <w:tcPr>
            <w:tcW w:w="0" w:type="auto"/>
            <w:hideMark/>
          </w:tcPr>
          <w:p w14:paraId="05DB510D" w14:textId="77777777" w:rsidR="0089011F" w:rsidRDefault="0089011F">
            <w:pPr>
              <w:pStyle w:val="Bibliography"/>
              <w:rPr>
                <w:noProof/>
              </w:rPr>
            </w:pPr>
            <w:r>
              <w:rPr>
                <w:noProof/>
              </w:rPr>
              <w:t xml:space="preserve">The Pharmacy Guild of Australia, </w:t>
            </w:r>
            <w:r>
              <w:rPr>
                <w:i/>
                <w:iCs/>
                <w:noProof/>
              </w:rPr>
              <w:t xml:space="preserve">Rural Pharmacy Liaison Officer Program data [unpublished], </w:t>
            </w:r>
            <w:r>
              <w:rPr>
                <w:noProof/>
              </w:rPr>
              <w:t xml:space="preserve">2014-2016. </w:t>
            </w:r>
          </w:p>
        </w:tc>
      </w:tr>
      <w:tr w:rsidR="0089011F" w14:paraId="4895A35B" w14:textId="77777777" w:rsidTr="00CB1ECD">
        <w:trPr>
          <w:divId w:val="823667041"/>
        </w:trPr>
        <w:tc>
          <w:tcPr>
            <w:tcW w:w="50" w:type="pct"/>
            <w:hideMark/>
          </w:tcPr>
          <w:p w14:paraId="0D4151C4" w14:textId="77777777" w:rsidR="0089011F" w:rsidRDefault="0089011F">
            <w:pPr>
              <w:pStyle w:val="Bibliography"/>
              <w:rPr>
                <w:noProof/>
              </w:rPr>
            </w:pPr>
            <w:r>
              <w:rPr>
                <w:noProof/>
              </w:rPr>
              <w:t xml:space="preserve">[45] </w:t>
            </w:r>
          </w:p>
        </w:tc>
        <w:tc>
          <w:tcPr>
            <w:tcW w:w="0" w:type="auto"/>
            <w:hideMark/>
          </w:tcPr>
          <w:p w14:paraId="1DEA824E" w14:textId="77777777" w:rsidR="0089011F" w:rsidRDefault="0089011F">
            <w:pPr>
              <w:pStyle w:val="Bibliography"/>
              <w:rPr>
                <w:noProof/>
              </w:rPr>
            </w:pPr>
            <w:r>
              <w:rPr>
                <w:noProof/>
              </w:rPr>
              <w:t xml:space="preserve">D. Pierce, F. Little, J. Bennett-Levy, A. Isaacs, H. Bridgman, S. Lutkin, T. Carey, K. Schlicht, Z. McCabe-Gusta, E. Martin and L. Martinez, “Mental health academics in rural and remote Australia,” </w:t>
            </w:r>
            <w:r>
              <w:rPr>
                <w:i/>
                <w:iCs/>
                <w:noProof/>
              </w:rPr>
              <w:t xml:space="preserve">Rural and Remote Health, </w:t>
            </w:r>
            <w:r>
              <w:rPr>
                <w:noProof/>
              </w:rPr>
              <w:t xml:space="preserve">vol. 16, p. 3793, 2015. </w:t>
            </w:r>
          </w:p>
        </w:tc>
      </w:tr>
      <w:tr w:rsidR="0089011F" w14:paraId="6AE2FFAA" w14:textId="77777777" w:rsidTr="00CB1ECD">
        <w:trPr>
          <w:divId w:val="823667041"/>
        </w:trPr>
        <w:tc>
          <w:tcPr>
            <w:tcW w:w="50" w:type="pct"/>
            <w:hideMark/>
          </w:tcPr>
          <w:p w14:paraId="2FA8BCAA" w14:textId="77777777" w:rsidR="0089011F" w:rsidRDefault="0089011F">
            <w:pPr>
              <w:pStyle w:val="Bibliography"/>
              <w:rPr>
                <w:noProof/>
              </w:rPr>
            </w:pPr>
            <w:r>
              <w:rPr>
                <w:noProof/>
              </w:rPr>
              <w:t xml:space="preserve">[46] </w:t>
            </w:r>
          </w:p>
        </w:tc>
        <w:tc>
          <w:tcPr>
            <w:tcW w:w="0" w:type="auto"/>
            <w:hideMark/>
          </w:tcPr>
          <w:p w14:paraId="775AA118" w14:textId="77777777" w:rsidR="0089011F" w:rsidRDefault="0089011F">
            <w:pPr>
              <w:pStyle w:val="Bibliography"/>
              <w:rPr>
                <w:noProof/>
              </w:rPr>
            </w:pPr>
            <w:r>
              <w:rPr>
                <w:noProof/>
              </w:rPr>
              <w:t>The Pharmacy Guild of Australia, “6th Community Pharmacy Agreement, Administrative Support to Pharmacy Schools Scheme Programme Specific Guidelines,” 2015. [Online]. Available: http://6cpa.com.au/rural-support-programmes/rural-pharmacy-student-placement-allowance/.</w:t>
            </w:r>
          </w:p>
        </w:tc>
      </w:tr>
      <w:tr w:rsidR="0089011F" w14:paraId="0047B0A5" w14:textId="77777777" w:rsidTr="00CB1ECD">
        <w:trPr>
          <w:divId w:val="823667041"/>
        </w:trPr>
        <w:tc>
          <w:tcPr>
            <w:tcW w:w="50" w:type="pct"/>
            <w:hideMark/>
          </w:tcPr>
          <w:p w14:paraId="217716F8" w14:textId="77777777" w:rsidR="0089011F" w:rsidRDefault="0089011F">
            <w:pPr>
              <w:pStyle w:val="Bibliography"/>
              <w:rPr>
                <w:noProof/>
              </w:rPr>
            </w:pPr>
            <w:r>
              <w:rPr>
                <w:noProof/>
              </w:rPr>
              <w:t xml:space="preserve">[47] </w:t>
            </w:r>
          </w:p>
        </w:tc>
        <w:tc>
          <w:tcPr>
            <w:tcW w:w="0" w:type="auto"/>
            <w:hideMark/>
          </w:tcPr>
          <w:p w14:paraId="70B8E575" w14:textId="77777777" w:rsidR="0089011F" w:rsidRDefault="0089011F">
            <w:pPr>
              <w:pStyle w:val="Bibliography"/>
              <w:rPr>
                <w:noProof/>
              </w:rPr>
            </w:pPr>
            <w:r>
              <w:rPr>
                <w:noProof/>
              </w:rPr>
              <w:t>The Pharmacy Guild of Australia, “6th Community Pharmacy Agreement, Aboriginal and Torres Strait Islander Pharmacy Assistant Traineeship Scheme Programme Specific Guidelines,” 2015. [Online]. Available: http://6cpa.com.au/aboriginal-and-torres-strait-islander-specific-programmes/aboriginal-torres-strait-islander-pharmacy-assistant-traineeship-scheme/.</w:t>
            </w:r>
          </w:p>
        </w:tc>
      </w:tr>
      <w:tr w:rsidR="0089011F" w14:paraId="3A533DC5" w14:textId="77777777" w:rsidTr="00CB1ECD">
        <w:trPr>
          <w:divId w:val="823667041"/>
        </w:trPr>
        <w:tc>
          <w:tcPr>
            <w:tcW w:w="50" w:type="pct"/>
            <w:hideMark/>
          </w:tcPr>
          <w:p w14:paraId="59505639" w14:textId="77777777" w:rsidR="0089011F" w:rsidRDefault="0089011F">
            <w:pPr>
              <w:pStyle w:val="Bibliography"/>
              <w:rPr>
                <w:noProof/>
              </w:rPr>
            </w:pPr>
            <w:r>
              <w:rPr>
                <w:noProof/>
              </w:rPr>
              <w:t xml:space="preserve">[48] </w:t>
            </w:r>
          </w:p>
        </w:tc>
        <w:tc>
          <w:tcPr>
            <w:tcW w:w="0" w:type="auto"/>
            <w:hideMark/>
          </w:tcPr>
          <w:p w14:paraId="7A08AFF5" w14:textId="77777777" w:rsidR="0089011F" w:rsidRDefault="0089011F">
            <w:pPr>
              <w:pStyle w:val="Bibliography"/>
              <w:rPr>
                <w:noProof/>
              </w:rPr>
            </w:pPr>
            <w:r>
              <w:rPr>
                <w:noProof/>
              </w:rPr>
              <w:t>Australian Bureau of Statistics, “3238.0.55.001 Estimates resident Aboriginal and Torres Strait Islander and Non-Indigenous population, SA2 - 30 June 2011,” ABS, Canberra, 2011.</w:t>
            </w:r>
          </w:p>
        </w:tc>
      </w:tr>
      <w:tr w:rsidR="0089011F" w14:paraId="7C407EDD" w14:textId="77777777" w:rsidTr="00CB1ECD">
        <w:trPr>
          <w:divId w:val="823667041"/>
        </w:trPr>
        <w:tc>
          <w:tcPr>
            <w:tcW w:w="50" w:type="pct"/>
            <w:hideMark/>
          </w:tcPr>
          <w:p w14:paraId="26757A78" w14:textId="77777777" w:rsidR="0089011F" w:rsidRDefault="0089011F">
            <w:pPr>
              <w:pStyle w:val="Bibliography"/>
              <w:rPr>
                <w:noProof/>
              </w:rPr>
            </w:pPr>
            <w:r>
              <w:rPr>
                <w:noProof/>
              </w:rPr>
              <w:t xml:space="preserve">[49] </w:t>
            </w:r>
          </w:p>
        </w:tc>
        <w:tc>
          <w:tcPr>
            <w:tcW w:w="0" w:type="auto"/>
            <w:hideMark/>
          </w:tcPr>
          <w:p w14:paraId="03E82783" w14:textId="77777777" w:rsidR="0089011F" w:rsidRDefault="0089011F">
            <w:pPr>
              <w:pStyle w:val="Bibliography"/>
              <w:rPr>
                <w:noProof/>
              </w:rPr>
            </w:pPr>
            <w:r>
              <w:rPr>
                <w:noProof/>
              </w:rPr>
              <w:t>The Pharmacy Guild of Australia, “6th Community Pharmacy Agreement, Aboriginal and Torres Strait Islander Pharmacy Scholarship Scheme Programme Specific Guidelines,” 2015. [Online]. Available: http://6cpa.com.au/aboriginal-and-torres-strait-islander-specific-programmes/aboriginal-torres-strait-islander-pharmacy-scholarship-program/.</w:t>
            </w:r>
          </w:p>
        </w:tc>
      </w:tr>
      <w:tr w:rsidR="0089011F" w14:paraId="4CC0C06E" w14:textId="77777777" w:rsidTr="00CB1ECD">
        <w:trPr>
          <w:divId w:val="823667041"/>
        </w:trPr>
        <w:tc>
          <w:tcPr>
            <w:tcW w:w="50" w:type="pct"/>
            <w:hideMark/>
          </w:tcPr>
          <w:p w14:paraId="514FDFEB" w14:textId="77777777" w:rsidR="0089011F" w:rsidRDefault="0089011F">
            <w:pPr>
              <w:pStyle w:val="Bibliography"/>
              <w:rPr>
                <w:noProof/>
              </w:rPr>
            </w:pPr>
            <w:r>
              <w:rPr>
                <w:noProof/>
              </w:rPr>
              <w:t xml:space="preserve">[50] </w:t>
            </w:r>
          </w:p>
        </w:tc>
        <w:tc>
          <w:tcPr>
            <w:tcW w:w="0" w:type="auto"/>
            <w:hideMark/>
          </w:tcPr>
          <w:p w14:paraId="004E0920" w14:textId="77777777" w:rsidR="0089011F" w:rsidRDefault="0089011F">
            <w:pPr>
              <w:pStyle w:val="Bibliography"/>
              <w:rPr>
                <w:noProof/>
              </w:rPr>
            </w:pPr>
            <w:r>
              <w:rPr>
                <w:noProof/>
              </w:rPr>
              <w:t xml:space="preserve">The Pharmacy Guild of Australia, </w:t>
            </w:r>
            <w:r>
              <w:rPr>
                <w:i/>
                <w:iCs/>
                <w:noProof/>
              </w:rPr>
              <w:t xml:space="preserve">Aboriginal and Torres Strait Islander Pharmacy Workforce Programme data [unpublished], </w:t>
            </w:r>
            <w:r>
              <w:rPr>
                <w:noProof/>
              </w:rPr>
              <w:t xml:space="preserve">2014-2016. </w:t>
            </w:r>
          </w:p>
        </w:tc>
      </w:tr>
      <w:tr w:rsidR="0089011F" w14:paraId="291FED58" w14:textId="77777777" w:rsidTr="00CB1ECD">
        <w:trPr>
          <w:divId w:val="823667041"/>
        </w:trPr>
        <w:tc>
          <w:tcPr>
            <w:tcW w:w="50" w:type="pct"/>
            <w:hideMark/>
          </w:tcPr>
          <w:p w14:paraId="19A31175" w14:textId="77777777" w:rsidR="0089011F" w:rsidRDefault="0089011F">
            <w:pPr>
              <w:pStyle w:val="Bibliography"/>
              <w:rPr>
                <w:noProof/>
              </w:rPr>
            </w:pPr>
            <w:r>
              <w:rPr>
                <w:noProof/>
              </w:rPr>
              <w:t xml:space="preserve">[51] </w:t>
            </w:r>
          </w:p>
        </w:tc>
        <w:tc>
          <w:tcPr>
            <w:tcW w:w="0" w:type="auto"/>
            <w:hideMark/>
          </w:tcPr>
          <w:p w14:paraId="1FE18109" w14:textId="77777777" w:rsidR="0089011F" w:rsidRDefault="0089011F">
            <w:pPr>
              <w:pStyle w:val="Bibliography"/>
              <w:rPr>
                <w:noProof/>
              </w:rPr>
            </w:pPr>
            <w:r>
              <w:rPr>
                <w:noProof/>
              </w:rPr>
              <w:t xml:space="preserve">M. Devlin, “Indigenous higher education student equity: focusing on what works,” </w:t>
            </w:r>
            <w:r>
              <w:rPr>
                <w:i/>
                <w:iCs/>
                <w:noProof/>
              </w:rPr>
              <w:t xml:space="preserve">Australian Journal of Indigenous Education, </w:t>
            </w:r>
            <w:r>
              <w:rPr>
                <w:noProof/>
              </w:rPr>
              <w:t xml:space="preserve">vol. 38, pp. 1-8, 2009. </w:t>
            </w:r>
          </w:p>
        </w:tc>
      </w:tr>
      <w:tr w:rsidR="0089011F" w14:paraId="4D260E10" w14:textId="77777777" w:rsidTr="00CB1ECD">
        <w:trPr>
          <w:divId w:val="823667041"/>
        </w:trPr>
        <w:tc>
          <w:tcPr>
            <w:tcW w:w="50" w:type="pct"/>
            <w:hideMark/>
          </w:tcPr>
          <w:p w14:paraId="48E10FDA" w14:textId="77777777" w:rsidR="0089011F" w:rsidRDefault="0089011F">
            <w:pPr>
              <w:pStyle w:val="Bibliography"/>
              <w:rPr>
                <w:noProof/>
              </w:rPr>
            </w:pPr>
            <w:r>
              <w:rPr>
                <w:noProof/>
              </w:rPr>
              <w:t xml:space="preserve">[52] </w:t>
            </w:r>
          </w:p>
        </w:tc>
        <w:tc>
          <w:tcPr>
            <w:tcW w:w="0" w:type="auto"/>
            <w:hideMark/>
          </w:tcPr>
          <w:p w14:paraId="7D29F196" w14:textId="77777777" w:rsidR="0089011F" w:rsidRDefault="0089011F">
            <w:pPr>
              <w:pStyle w:val="Bibliography"/>
              <w:rPr>
                <w:noProof/>
              </w:rPr>
            </w:pPr>
            <w:r>
              <w:rPr>
                <w:noProof/>
              </w:rPr>
              <w:t>Australian College of Nursing, “Puggy Hunter Memorial Scholarship Scheme,” 2016. [Online]. Available: https://www.acn.edu.au/phmss.</w:t>
            </w:r>
          </w:p>
        </w:tc>
      </w:tr>
      <w:tr w:rsidR="0089011F" w14:paraId="55FB1350" w14:textId="77777777" w:rsidTr="00CB1ECD">
        <w:trPr>
          <w:divId w:val="823667041"/>
        </w:trPr>
        <w:tc>
          <w:tcPr>
            <w:tcW w:w="50" w:type="pct"/>
            <w:hideMark/>
          </w:tcPr>
          <w:p w14:paraId="47F65E58" w14:textId="77777777" w:rsidR="0089011F" w:rsidRDefault="0089011F">
            <w:pPr>
              <w:pStyle w:val="Bibliography"/>
              <w:rPr>
                <w:noProof/>
              </w:rPr>
            </w:pPr>
            <w:r>
              <w:rPr>
                <w:noProof/>
              </w:rPr>
              <w:t xml:space="preserve">[53] </w:t>
            </w:r>
          </w:p>
        </w:tc>
        <w:tc>
          <w:tcPr>
            <w:tcW w:w="0" w:type="auto"/>
            <w:hideMark/>
          </w:tcPr>
          <w:p w14:paraId="518E2A56" w14:textId="77777777" w:rsidR="0089011F" w:rsidRDefault="0089011F">
            <w:pPr>
              <w:pStyle w:val="Bibliography"/>
              <w:rPr>
                <w:noProof/>
              </w:rPr>
            </w:pPr>
            <w:r>
              <w:rPr>
                <w:noProof/>
              </w:rPr>
              <w:t>The Aspiration Initiative, “Indigenous scholarships, Australian Rotary Indigenous Health Scholarship,” c.2016. [Online]. Available: http://theaspirationinitiative.com.au/indigenous-scholarships/find-a-scholarship/area-of-study/health/777-australian-rotary-health-indigenous-health-scholarship.</w:t>
            </w:r>
          </w:p>
        </w:tc>
      </w:tr>
      <w:tr w:rsidR="0089011F" w14:paraId="502835C2" w14:textId="77777777" w:rsidTr="00CB1ECD">
        <w:trPr>
          <w:divId w:val="823667041"/>
        </w:trPr>
        <w:tc>
          <w:tcPr>
            <w:tcW w:w="50" w:type="pct"/>
            <w:hideMark/>
          </w:tcPr>
          <w:p w14:paraId="1C20B763" w14:textId="77777777" w:rsidR="0089011F" w:rsidRDefault="0089011F">
            <w:pPr>
              <w:pStyle w:val="Bibliography"/>
              <w:rPr>
                <w:noProof/>
              </w:rPr>
            </w:pPr>
            <w:r>
              <w:rPr>
                <w:noProof/>
              </w:rPr>
              <w:t xml:space="preserve">[54] </w:t>
            </w:r>
          </w:p>
        </w:tc>
        <w:tc>
          <w:tcPr>
            <w:tcW w:w="0" w:type="auto"/>
            <w:hideMark/>
          </w:tcPr>
          <w:p w14:paraId="2E2803D8" w14:textId="77777777" w:rsidR="0089011F" w:rsidRDefault="0089011F">
            <w:pPr>
              <w:pStyle w:val="Bibliography"/>
              <w:rPr>
                <w:noProof/>
              </w:rPr>
            </w:pPr>
            <w:r>
              <w:rPr>
                <w:noProof/>
              </w:rPr>
              <w:t xml:space="preserve">Rural Health West, </w:t>
            </w:r>
            <w:r>
              <w:rPr>
                <w:i/>
                <w:iCs/>
                <w:noProof/>
              </w:rPr>
              <w:t xml:space="preserve">Review of rural health scholarships and bursaries in Australia. Summary report. July 2014, </w:t>
            </w:r>
            <w:r>
              <w:rPr>
                <w:noProof/>
              </w:rPr>
              <w:t xml:space="preserve">Perth: Rural Health West, 2014. </w:t>
            </w:r>
          </w:p>
        </w:tc>
      </w:tr>
      <w:tr w:rsidR="0089011F" w14:paraId="1262AB01" w14:textId="77777777" w:rsidTr="00CB1ECD">
        <w:trPr>
          <w:divId w:val="823667041"/>
        </w:trPr>
        <w:tc>
          <w:tcPr>
            <w:tcW w:w="50" w:type="pct"/>
            <w:hideMark/>
          </w:tcPr>
          <w:p w14:paraId="31A32779" w14:textId="77777777" w:rsidR="0089011F" w:rsidRDefault="0089011F">
            <w:pPr>
              <w:pStyle w:val="Bibliography"/>
              <w:rPr>
                <w:noProof/>
              </w:rPr>
            </w:pPr>
            <w:r>
              <w:rPr>
                <w:noProof/>
              </w:rPr>
              <w:t xml:space="preserve">[55] </w:t>
            </w:r>
          </w:p>
        </w:tc>
        <w:tc>
          <w:tcPr>
            <w:tcW w:w="0" w:type="auto"/>
            <w:hideMark/>
          </w:tcPr>
          <w:p w14:paraId="5B2E182F" w14:textId="77777777" w:rsidR="0089011F" w:rsidRDefault="0089011F">
            <w:pPr>
              <w:pStyle w:val="Bibliography"/>
              <w:rPr>
                <w:noProof/>
              </w:rPr>
            </w:pPr>
            <w:r>
              <w:rPr>
                <w:noProof/>
              </w:rPr>
              <w:t xml:space="preserve">Australian Health Practitioner Regulation Agency, </w:t>
            </w:r>
            <w:r>
              <w:rPr>
                <w:i/>
                <w:iCs/>
                <w:noProof/>
              </w:rPr>
              <w:t xml:space="preserve">Pharmacy workforce data [unpublished], </w:t>
            </w:r>
            <w:r>
              <w:rPr>
                <w:noProof/>
              </w:rPr>
              <w:t xml:space="preserve">Melbourne: AHPRA, 2015. </w:t>
            </w:r>
          </w:p>
        </w:tc>
      </w:tr>
      <w:tr w:rsidR="0089011F" w14:paraId="759A025D" w14:textId="77777777" w:rsidTr="00CB1ECD">
        <w:trPr>
          <w:divId w:val="823667041"/>
        </w:trPr>
        <w:tc>
          <w:tcPr>
            <w:tcW w:w="50" w:type="pct"/>
            <w:hideMark/>
          </w:tcPr>
          <w:p w14:paraId="6E46F65D" w14:textId="77777777" w:rsidR="0089011F" w:rsidRDefault="0089011F">
            <w:pPr>
              <w:pStyle w:val="Bibliography"/>
              <w:rPr>
                <w:noProof/>
              </w:rPr>
            </w:pPr>
            <w:r>
              <w:rPr>
                <w:noProof/>
              </w:rPr>
              <w:t xml:space="preserve">[56] </w:t>
            </w:r>
          </w:p>
        </w:tc>
        <w:tc>
          <w:tcPr>
            <w:tcW w:w="0" w:type="auto"/>
            <w:hideMark/>
          </w:tcPr>
          <w:p w14:paraId="3366460C" w14:textId="77777777" w:rsidR="0089011F" w:rsidRDefault="0089011F">
            <w:pPr>
              <w:pStyle w:val="Bibliography"/>
              <w:rPr>
                <w:noProof/>
              </w:rPr>
            </w:pPr>
            <w:r>
              <w:rPr>
                <w:noProof/>
              </w:rPr>
              <w:t xml:space="preserve">The Pharmacy Guild of Australia, </w:t>
            </w:r>
            <w:r>
              <w:rPr>
                <w:i/>
                <w:iCs/>
                <w:noProof/>
              </w:rPr>
              <w:t xml:space="preserve">Intern Incentive Allowance for Rural Pharmacies data [unpublished], </w:t>
            </w:r>
            <w:r>
              <w:rPr>
                <w:noProof/>
              </w:rPr>
              <w:t xml:space="preserve">2014-2016. </w:t>
            </w:r>
          </w:p>
        </w:tc>
      </w:tr>
      <w:tr w:rsidR="0089011F" w14:paraId="7B0DE856" w14:textId="77777777" w:rsidTr="00CB1ECD">
        <w:trPr>
          <w:divId w:val="823667041"/>
        </w:trPr>
        <w:tc>
          <w:tcPr>
            <w:tcW w:w="50" w:type="pct"/>
            <w:hideMark/>
          </w:tcPr>
          <w:p w14:paraId="305998FB" w14:textId="77777777" w:rsidR="0089011F" w:rsidRDefault="0089011F">
            <w:pPr>
              <w:pStyle w:val="Bibliography"/>
              <w:rPr>
                <w:noProof/>
              </w:rPr>
            </w:pPr>
            <w:r>
              <w:rPr>
                <w:noProof/>
              </w:rPr>
              <w:t xml:space="preserve">[57] </w:t>
            </w:r>
          </w:p>
        </w:tc>
        <w:tc>
          <w:tcPr>
            <w:tcW w:w="0" w:type="auto"/>
            <w:hideMark/>
          </w:tcPr>
          <w:p w14:paraId="784E9DF0" w14:textId="77777777" w:rsidR="0089011F" w:rsidRDefault="0089011F">
            <w:pPr>
              <w:pStyle w:val="Bibliography"/>
              <w:rPr>
                <w:noProof/>
              </w:rPr>
            </w:pPr>
            <w:r>
              <w:rPr>
                <w:noProof/>
              </w:rPr>
              <w:t xml:space="preserve">The Pharmacy Guild of Australia, </w:t>
            </w:r>
            <w:r>
              <w:rPr>
                <w:i/>
                <w:iCs/>
                <w:noProof/>
              </w:rPr>
              <w:t xml:space="preserve">Intern Incentive Allowance for Rural Pharmacies - Extension Program data [unpublished], </w:t>
            </w:r>
            <w:r>
              <w:rPr>
                <w:noProof/>
              </w:rPr>
              <w:t xml:space="preserve">2014-2016. </w:t>
            </w:r>
          </w:p>
        </w:tc>
      </w:tr>
      <w:tr w:rsidR="0089011F" w14:paraId="6A0C801D" w14:textId="77777777" w:rsidTr="00CB1ECD">
        <w:trPr>
          <w:divId w:val="823667041"/>
        </w:trPr>
        <w:tc>
          <w:tcPr>
            <w:tcW w:w="50" w:type="pct"/>
            <w:hideMark/>
          </w:tcPr>
          <w:p w14:paraId="5F9717A9" w14:textId="77777777" w:rsidR="0089011F" w:rsidRDefault="0089011F">
            <w:pPr>
              <w:pStyle w:val="Bibliography"/>
              <w:rPr>
                <w:noProof/>
              </w:rPr>
            </w:pPr>
            <w:r>
              <w:rPr>
                <w:noProof/>
              </w:rPr>
              <w:t xml:space="preserve">[58] </w:t>
            </w:r>
          </w:p>
        </w:tc>
        <w:tc>
          <w:tcPr>
            <w:tcW w:w="0" w:type="auto"/>
            <w:hideMark/>
          </w:tcPr>
          <w:p w14:paraId="4273A84E" w14:textId="77777777" w:rsidR="0089011F" w:rsidRDefault="0089011F">
            <w:pPr>
              <w:pStyle w:val="Bibliography"/>
              <w:rPr>
                <w:noProof/>
              </w:rPr>
            </w:pPr>
            <w:r>
              <w:rPr>
                <w:noProof/>
              </w:rPr>
              <w:t xml:space="preserve">The Pharmacy Guild of Auatralia, </w:t>
            </w:r>
            <w:r>
              <w:rPr>
                <w:i/>
                <w:iCs/>
                <w:noProof/>
              </w:rPr>
              <w:t xml:space="preserve">Rural Intern Training Allowance data [unpublished], </w:t>
            </w:r>
            <w:r>
              <w:rPr>
                <w:noProof/>
              </w:rPr>
              <w:t xml:space="preserve">2014-2016. </w:t>
            </w:r>
          </w:p>
        </w:tc>
      </w:tr>
      <w:tr w:rsidR="0089011F" w14:paraId="36DEBD9D" w14:textId="77777777" w:rsidTr="00CB1ECD">
        <w:trPr>
          <w:divId w:val="823667041"/>
        </w:trPr>
        <w:tc>
          <w:tcPr>
            <w:tcW w:w="50" w:type="pct"/>
            <w:hideMark/>
          </w:tcPr>
          <w:p w14:paraId="7C9BD92F" w14:textId="77777777" w:rsidR="0089011F" w:rsidRDefault="0089011F">
            <w:pPr>
              <w:pStyle w:val="Bibliography"/>
              <w:rPr>
                <w:noProof/>
              </w:rPr>
            </w:pPr>
            <w:r>
              <w:rPr>
                <w:noProof/>
              </w:rPr>
              <w:t xml:space="preserve">[59] </w:t>
            </w:r>
          </w:p>
        </w:tc>
        <w:tc>
          <w:tcPr>
            <w:tcW w:w="0" w:type="auto"/>
            <w:hideMark/>
          </w:tcPr>
          <w:p w14:paraId="01E7DB8F" w14:textId="77777777" w:rsidR="0089011F" w:rsidRDefault="0089011F">
            <w:pPr>
              <w:pStyle w:val="Bibliography"/>
              <w:rPr>
                <w:noProof/>
              </w:rPr>
            </w:pPr>
            <w:r>
              <w:rPr>
                <w:noProof/>
              </w:rPr>
              <w:t xml:space="preserve">N. Wilson, I. Couper, E. De Vries, S. Reid, T. Fish and B. Marais, “A critical review of interventions to redress the inequitable distribution of </w:t>
            </w:r>
            <w:r>
              <w:rPr>
                <w:noProof/>
              </w:rPr>
              <w:lastRenderedPageBreak/>
              <w:t xml:space="preserve">healthcare professionals to rural and remote areas,” </w:t>
            </w:r>
            <w:r>
              <w:rPr>
                <w:i/>
                <w:iCs/>
                <w:noProof/>
              </w:rPr>
              <w:t xml:space="preserve">Rural and Remote Health, </w:t>
            </w:r>
            <w:r>
              <w:rPr>
                <w:noProof/>
              </w:rPr>
              <w:t xml:space="preserve">vol. 9, no. 2, p. 1060, 2009. </w:t>
            </w:r>
          </w:p>
        </w:tc>
      </w:tr>
      <w:tr w:rsidR="0089011F" w14:paraId="301C71B7" w14:textId="77777777" w:rsidTr="00CB1ECD">
        <w:trPr>
          <w:divId w:val="823667041"/>
        </w:trPr>
        <w:tc>
          <w:tcPr>
            <w:tcW w:w="50" w:type="pct"/>
            <w:hideMark/>
          </w:tcPr>
          <w:p w14:paraId="1A1D0083" w14:textId="77777777" w:rsidR="0089011F" w:rsidRDefault="0089011F">
            <w:pPr>
              <w:pStyle w:val="Bibliography"/>
              <w:rPr>
                <w:noProof/>
              </w:rPr>
            </w:pPr>
            <w:r>
              <w:rPr>
                <w:noProof/>
              </w:rPr>
              <w:lastRenderedPageBreak/>
              <w:t xml:space="preserve">[60] </w:t>
            </w:r>
          </w:p>
        </w:tc>
        <w:tc>
          <w:tcPr>
            <w:tcW w:w="0" w:type="auto"/>
            <w:hideMark/>
          </w:tcPr>
          <w:p w14:paraId="65A96F37" w14:textId="77777777" w:rsidR="0089011F" w:rsidRDefault="0089011F">
            <w:pPr>
              <w:pStyle w:val="Bibliography"/>
              <w:rPr>
                <w:noProof/>
              </w:rPr>
            </w:pPr>
            <w:r>
              <w:rPr>
                <w:noProof/>
              </w:rPr>
              <w:t xml:space="preserve">K. Stagnitti, A. Schoo, J. Dunbar and C. Reid, “An exploration of issues of management and intention to stay: allied health professionals in South West Victoria, Australia,” </w:t>
            </w:r>
            <w:r>
              <w:rPr>
                <w:i/>
                <w:iCs/>
                <w:noProof/>
              </w:rPr>
              <w:t xml:space="preserve">Journal of Allied Health, </w:t>
            </w:r>
            <w:r>
              <w:rPr>
                <w:noProof/>
              </w:rPr>
              <w:t xml:space="preserve">vol. 35, no. 4, pp. 226-232, 2006. </w:t>
            </w:r>
          </w:p>
        </w:tc>
      </w:tr>
      <w:tr w:rsidR="0089011F" w14:paraId="0CB2345C" w14:textId="77777777" w:rsidTr="00CB1ECD">
        <w:trPr>
          <w:divId w:val="823667041"/>
        </w:trPr>
        <w:tc>
          <w:tcPr>
            <w:tcW w:w="50" w:type="pct"/>
            <w:hideMark/>
          </w:tcPr>
          <w:p w14:paraId="4E434010" w14:textId="77777777" w:rsidR="0089011F" w:rsidRDefault="0089011F">
            <w:pPr>
              <w:pStyle w:val="Bibliography"/>
              <w:rPr>
                <w:noProof/>
              </w:rPr>
            </w:pPr>
            <w:r>
              <w:rPr>
                <w:noProof/>
              </w:rPr>
              <w:t xml:space="preserve">[61] </w:t>
            </w:r>
          </w:p>
        </w:tc>
        <w:tc>
          <w:tcPr>
            <w:tcW w:w="0" w:type="auto"/>
            <w:hideMark/>
          </w:tcPr>
          <w:p w14:paraId="04FD83B4" w14:textId="77777777" w:rsidR="0089011F" w:rsidRDefault="0089011F">
            <w:pPr>
              <w:pStyle w:val="Bibliography"/>
              <w:rPr>
                <w:noProof/>
              </w:rPr>
            </w:pPr>
            <w:r>
              <w:rPr>
                <w:noProof/>
              </w:rPr>
              <w:t xml:space="preserve">The Pharmacy Guild of Australia, </w:t>
            </w:r>
            <w:r>
              <w:rPr>
                <w:i/>
                <w:iCs/>
                <w:noProof/>
              </w:rPr>
              <w:t xml:space="preserve">Continuing Professional Education Allowance data [unpublished], </w:t>
            </w:r>
            <w:r>
              <w:rPr>
                <w:noProof/>
              </w:rPr>
              <w:t xml:space="preserve">2014-2016. </w:t>
            </w:r>
          </w:p>
        </w:tc>
      </w:tr>
    </w:tbl>
    <w:p w14:paraId="22E39DE7" w14:textId="60C986D0" w:rsidR="005F593D" w:rsidRPr="005F593D" w:rsidRDefault="006A02A7" w:rsidP="005E5D36">
      <w:pPr>
        <w:pStyle w:val="BodyCopy"/>
      </w:pPr>
      <w:r>
        <w:fldChar w:fldCharType="end"/>
      </w:r>
    </w:p>
    <w:sectPr w:rsidR="005F593D" w:rsidRPr="005F593D" w:rsidSect="00D25E91">
      <w:pgSz w:w="16839" w:h="11907" w:orient="landscape" w:code="9"/>
      <w:pgMar w:top="2268" w:right="1304" w:bottom="851" w:left="737" w:header="567" w:footer="284"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1FFABF" w14:textId="77777777" w:rsidR="00AC1A4F" w:rsidRDefault="00AC1A4F" w:rsidP="00F32964">
      <w:r>
        <w:separator/>
      </w:r>
    </w:p>
    <w:p w14:paraId="39E35A36" w14:textId="77777777" w:rsidR="00AC1A4F" w:rsidRDefault="00AC1A4F"/>
  </w:endnote>
  <w:endnote w:type="continuationSeparator" w:id="0">
    <w:p w14:paraId="011D298D" w14:textId="77777777" w:rsidR="00AC1A4F" w:rsidRDefault="00AC1A4F" w:rsidP="00F32964">
      <w:r>
        <w:continuationSeparator/>
      </w:r>
    </w:p>
    <w:p w14:paraId="56CFAC49" w14:textId="77777777" w:rsidR="00AC1A4F" w:rsidRDefault="00AC1A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Ind w:w="-170" w:type="dxa"/>
      <w:tblLayout w:type="fixed"/>
      <w:tblCellMar>
        <w:top w:w="170" w:type="dxa"/>
      </w:tblCellMar>
      <w:tblLook w:val="04A0" w:firstRow="1" w:lastRow="0" w:firstColumn="1" w:lastColumn="0" w:noHBand="0" w:noVBand="1"/>
    </w:tblPr>
    <w:tblGrid>
      <w:gridCol w:w="7456"/>
      <w:gridCol w:w="236"/>
      <w:gridCol w:w="7456"/>
    </w:tblGrid>
    <w:tr w:rsidR="00AC1A4F" w14:paraId="441E64B1" w14:textId="77777777" w:rsidTr="00F86488">
      <w:tc>
        <w:tcPr>
          <w:tcW w:w="7456" w:type="dxa"/>
          <w:tcBorders>
            <w:top w:val="single" w:sz="8" w:space="0" w:color="000000" w:themeColor="text1"/>
          </w:tcBorders>
        </w:tcPr>
        <w:p w14:paraId="312380ED" w14:textId="77777777" w:rsidR="00AC1A4F" w:rsidRDefault="00AC1A4F" w:rsidP="00F86488">
          <w:pPr>
            <w:pStyle w:val="Footer"/>
          </w:pPr>
        </w:p>
      </w:tc>
      <w:tc>
        <w:tcPr>
          <w:tcW w:w="236" w:type="dxa"/>
        </w:tcPr>
        <w:p w14:paraId="3A15E488" w14:textId="77777777" w:rsidR="00AC1A4F" w:rsidRDefault="00AC1A4F" w:rsidP="00F86488">
          <w:pPr>
            <w:pStyle w:val="Footer"/>
          </w:pPr>
        </w:p>
      </w:tc>
      <w:tc>
        <w:tcPr>
          <w:tcW w:w="7456" w:type="dxa"/>
          <w:tcBorders>
            <w:top w:val="single" w:sz="8" w:space="0" w:color="000000" w:themeColor="text1"/>
          </w:tcBorders>
          <w:vAlign w:val="center"/>
        </w:tcPr>
        <w:p w14:paraId="74ED067A" w14:textId="77777777" w:rsidR="00AC1A4F" w:rsidRDefault="00AC1A4F" w:rsidP="00F86488">
          <w:pPr>
            <w:pStyle w:val="Footer"/>
            <w:jc w:val="right"/>
          </w:pPr>
        </w:p>
      </w:tc>
    </w:tr>
  </w:tbl>
  <w:p w14:paraId="5D09A334" w14:textId="77777777" w:rsidR="00AC1A4F" w:rsidRDefault="00AC1A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0E0F6" w14:textId="77777777" w:rsidR="00AC1A4F" w:rsidRPr="00B72016" w:rsidRDefault="00AC1A4F">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145360"/>
      <w:docPartObj>
        <w:docPartGallery w:val="Page Numbers (Bottom of Page)"/>
        <w:docPartUnique/>
      </w:docPartObj>
    </w:sdtPr>
    <w:sdtEndPr>
      <w:rPr>
        <w:noProof/>
      </w:rPr>
    </w:sdtEndPr>
    <w:sdtContent>
      <w:p w14:paraId="4A080298" w14:textId="10AF015E" w:rsidR="00AC1A4F" w:rsidRDefault="00AC1A4F">
        <w:pPr>
          <w:pStyle w:val="Footer"/>
          <w:jc w:val="right"/>
        </w:pPr>
        <w:r>
          <w:fldChar w:fldCharType="begin"/>
        </w:r>
        <w:r>
          <w:instrText xml:space="preserve"> PAGE   \* MERGEFORMAT </w:instrText>
        </w:r>
        <w:r>
          <w:fldChar w:fldCharType="separate"/>
        </w:r>
        <w:r w:rsidR="00A60213">
          <w:rPr>
            <w:noProof/>
          </w:rPr>
          <w:t>44</w:t>
        </w:r>
        <w:r>
          <w:rPr>
            <w:noProof/>
          </w:rPr>
          <w:fldChar w:fldCharType="end"/>
        </w:r>
      </w:p>
    </w:sdtContent>
  </w:sdt>
  <w:p w14:paraId="58A3A76C" w14:textId="38DC6665" w:rsidR="00AC1A4F" w:rsidRPr="00B72016" w:rsidRDefault="00AC1A4F" w:rsidP="00BE55C1">
    <w:pPr>
      <w:pStyle w:val="Footer"/>
      <w:tabs>
        <w:tab w:val="clear" w:pos="4513"/>
        <w:tab w:val="clear" w:pos="9026"/>
        <w:tab w:val="left" w:pos="2835"/>
        <w:tab w:val="right" w:pos="13041"/>
      </w:tabs>
      <w:rPr>
        <w:sz w:val="16"/>
      </w:rPr>
    </w:pPr>
    <w:r>
      <w:rPr>
        <w:sz w:val="16"/>
      </w:rPr>
      <w:t>Review of Ongoing Pharmacy Workforce Programs</w:t>
    </w:r>
    <w:r>
      <w:rPr>
        <w:sz w:val="16"/>
      </w:rPr>
      <w:tab/>
      <w:t>Detailed Analysis of Workforce Programs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AE8EAF" w14:textId="77777777" w:rsidR="00AC1A4F" w:rsidRPr="00F878E9" w:rsidRDefault="00AC1A4F" w:rsidP="00F878E9">
      <w:pPr>
        <w:pStyle w:val="Footer"/>
        <w:rPr>
          <w:color w:val="FFFFFF" w:themeColor="background1"/>
          <w:sz w:val="2"/>
          <w:szCs w:val="2"/>
        </w:rPr>
      </w:pPr>
    </w:p>
  </w:footnote>
  <w:footnote w:type="continuationSeparator" w:id="0">
    <w:p w14:paraId="28D2B8DA" w14:textId="77777777" w:rsidR="00AC1A4F" w:rsidRPr="00C97E54" w:rsidRDefault="00AC1A4F">
      <w:pPr>
        <w:rPr>
          <w:sz w:val="8"/>
          <w:lang w:val="en-US"/>
        </w:rPr>
      </w:pPr>
    </w:p>
  </w:footnote>
  <w:footnote w:type="continuationNotice" w:id="1">
    <w:p w14:paraId="1EA3AD5D" w14:textId="77777777" w:rsidR="00AC1A4F" w:rsidRPr="00C97E54" w:rsidRDefault="00AC1A4F">
      <w:pPr>
        <w:rPr>
          <w:sz w:val="8"/>
          <w:lang w:val="en-US"/>
        </w:rPr>
      </w:pPr>
    </w:p>
  </w:footnote>
  <w:footnote w:id="2">
    <w:p w14:paraId="6672C21B" w14:textId="006DFDED" w:rsidR="00AC1A4F" w:rsidRPr="00A9651E" w:rsidRDefault="00AC1A4F" w:rsidP="00E25D4B">
      <w:pPr>
        <w:pStyle w:val="FootnoteText"/>
        <w:rPr>
          <w:color w:val="000000" w:themeColor="text1"/>
        </w:rPr>
      </w:pPr>
      <w:r w:rsidRPr="00A9651E">
        <w:rPr>
          <w:rStyle w:val="FootnoteReference"/>
          <w:color w:val="000000" w:themeColor="text1"/>
        </w:rPr>
        <w:footnoteRef/>
      </w:r>
      <w:r w:rsidRPr="00A9651E">
        <w:rPr>
          <w:color w:val="000000" w:themeColor="text1"/>
        </w:rPr>
        <w:t xml:space="preserve"> Data was analysed from 2012 onwards because the eligibility criteria changed at the beginning of this year. Prior to 2012, the PhARIA scale was not used as a measure of remoteness and regional areas that were PhARIA 1 were also eligible for the allowance.</w:t>
      </w:r>
    </w:p>
  </w:footnote>
  <w:footnote w:id="3">
    <w:p w14:paraId="5B8D6CE9" w14:textId="726E0822" w:rsidR="00AC1A4F" w:rsidRPr="00A9651E" w:rsidRDefault="00AC1A4F">
      <w:pPr>
        <w:pStyle w:val="FootnoteText"/>
        <w:rPr>
          <w:color w:val="000000" w:themeColor="text1"/>
        </w:rPr>
      </w:pPr>
      <w:r w:rsidRPr="00A9651E">
        <w:rPr>
          <w:rStyle w:val="FootnoteReference"/>
          <w:color w:val="000000" w:themeColor="text1"/>
        </w:rPr>
        <w:footnoteRef/>
      </w:r>
      <w:r w:rsidRPr="00A9651E">
        <w:rPr>
          <w:color w:val="000000" w:themeColor="text1"/>
        </w:rPr>
        <w:t xml:space="preserve"> Allowances have a maximum value of $2,000. However, applications over $2,000 will be considered where additional documentation is supplied to substantiate the reasons for the additional costs (e.g. airfares or other additional transport links from remote centres). These applications are subject to review by The Guild.</w:t>
      </w:r>
    </w:p>
  </w:footnote>
  <w:footnote w:id="4">
    <w:p w14:paraId="5B97FE16" w14:textId="023AE279" w:rsidR="00AC1A4F" w:rsidRPr="00A9651E" w:rsidRDefault="00AC1A4F">
      <w:pPr>
        <w:pStyle w:val="FootnoteText"/>
        <w:rPr>
          <w:color w:val="000000" w:themeColor="text1"/>
        </w:rPr>
      </w:pPr>
      <w:r w:rsidRPr="00A9651E">
        <w:rPr>
          <w:rStyle w:val="FootnoteReference"/>
          <w:color w:val="000000" w:themeColor="text1"/>
        </w:rPr>
        <w:footnoteRef/>
      </w:r>
      <w:r w:rsidRPr="00A9651E">
        <w:rPr>
          <w:color w:val="000000" w:themeColor="text1"/>
        </w:rPr>
        <w:t xml:space="preserve"> Data was analysed from 2012 onwards because the eligibility criteria changed at the beginning of this year. Prior to 2012, the PhARIA scale was not used as a measure of remoteness and regional areas that were PhARIA 1 were also eligible for the allowance.</w:t>
      </w:r>
    </w:p>
  </w:footnote>
  <w:footnote w:id="5">
    <w:p w14:paraId="70FB6ADB" w14:textId="77777777" w:rsidR="00AC1A4F" w:rsidRPr="00A9651E" w:rsidRDefault="00AC1A4F" w:rsidP="007228DF">
      <w:pPr>
        <w:pStyle w:val="FootnoteText"/>
        <w:rPr>
          <w:color w:val="000000" w:themeColor="text1"/>
        </w:rPr>
      </w:pPr>
      <w:r w:rsidRPr="00A9651E">
        <w:rPr>
          <w:rStyle w:val="FootnoteReference"/>
          <w:color w:val="000000" w:themeColor="text1"/>
        </w:rPr>
        <w:footnoteRef/>
      </w:r>
      <w:r w:rsidRPr="00A9651E">
        <w:rPr>
          <w:color w:val="000000" w:themeColor="text1"/>
        </w:rPr>
        <w:t xml:space="preserve"> Calendar years 2013 to 2015 were used for PhARIA analysis to limit changes in PhARIA classification of regions. </w:t>
      </w:r>
    </w:p>
  </w:footnote>
  <w:footnote w:id="6">
    <w:p w14:paraId="783F3DBB" w14:textId="4607461D" w:rsidR="00AC1A4F" w:rsidRPr="00A9651E" w:rsidRDefault="00AC1A4F">
      <w:pPr>
        <w:pStyle w:val="FootnoteText"/>
        <w:rPr>
          <w:color w:val="000000" w:themeColor="text1"/>
        </w:rPr>
      </w:pPr>
      <w:r w:rsidRPr="00A9651E">
        <w:rPr>
          <w:rStyle w:val="FootnoteReference"/>
          <w:color w:val="000000" w:themeColor="text1"/>
        </w:rPr>
        <w:footnoteRef/>
      </w:r>
      <w:r w:rsidRPr="00A9651E">
        <w:rPr>
          <w:color w:val="000000" w:themeColor="text1"/>
        </w:rPr>
        <w:t xml:space="preserve"> Note: PhARIA 1 was not included in this analysis as it was based on only one episode and is no longer an eligible PhARIA location.</w:t>
      </w:r>
    </w:p>
  </w:footnote>
  <w:footnote w:id="7">
    <w:p w14:paraId="22CB8793" w14:textId="77777777" w:rsidR="00AC1A4F" w:rsidRPr="00CB1ECD" w:rsidRDefault="00AC1A4F" w:rsidP="005C2B84">
      <w:pPr>
        <w:pStyle w:val="FootnoteText"/>
        <w:rPr>
          <w:color w:val="auto"/>
        </w:rPr>
      </w:pPr>
      <w:r w:rsidRPr="00CB1ECD">
        <w:rPr>
          <w:rStyle w:val="FootnoteReference"/>
          <w:color w:val="auto"/>
        </w:rPr>
        <w:footnoteRef/>
      </w:r>
      <w:r w:rsidRPr="00CB1ECD">
        <w:rPr>
          <w:color w:val="auto"/>
        </w:rPr>
        <w:t xml:space="preserve"> Australian Bureau of Statistics, Population Distribution, Aboriginal and Torres Strait Islander Australians, 2006; Australian Bureau of Statistics, Estimates of Aboriginal and Torres Strait Islander Australians, June 2011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415D9" w14:textId="77777777" w:rsidR="00AC1A4F" w:rsidRPr="00C61DC7" w:rsidRDefault="00AC1A4F">
    <w:pPr>
      <w:pStyle w:val="Header"/>
      <w:rPr>
        <w:lang w:val="en-US"/>
      </w:rPr>
    </w:pPr>
    <w:r>
      <w:rPr>
        <w:noProof/>
        <w:lang w:eastAsia="en-AU"/>
      </w:rPr>
      <mc:AlternateContent>
        <mc:Choice Requires="wpg">
          <w:drawing>
            <wp:inline distT="0" distB="0" distL="0" distR="0" wp14:anchorId="42D39D9F" wp14:editId="06981799">
              <wp:extent cx="1455435" cy="2351128"/>
              <wp:effectExtent l="19050" t="19050" r="30480" b="30480"/>
              <wp:docPr id="9" name="Group 9">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Group">
                  <wpg:wgp>
                    <wpg:cNvGrpSpPr/>
                    <wpg:grpSpPr>
                      <a:xfrm>
                        <a:off x="0" y="0"/>
                        <a:ext cx="1455435" cy="2351128"/>
                        <a:chOff x="0" y="0"/>
                        <a:chExt cx="1455435" cy="2351128"/>
                      </a:xfrm>
                    </wpg:grpSpPr>
                    <wps:wsp>
                      <wps:cNvPr id="10" name="Line 9"/>
                      <wps:cNvCnPr/>
                      <wps:spPr bwMode="auto">
                        <a:xfrm flipV="1">
                          <a:off x="459367" y="0"/>
                          <a:ext cx="0" cy="387985"/>
                        </a:xfrm>
                        <a:prstGeom prst="line">
                          <a:avLst/>
                        </a:prstGeom>
                        <a:noFill/>
                        <a:ln w="44958" cap="rnd">
                          <a:solidFill>
                            <a:srgbClr val="444141"/>
                          </a:solidFill>
                          <a:prstDash val="solid"/>
                          <a:round/>
                          <a:headEnd/>
                          <a:tailEnd/>
                        </a:ln>
                        <a:extLst>
                          <a:ext uri="{909E8E84-426E-40DD-AFC4-6F175D3DCCD1}">
                            <a14:hiddenFill xmlns:a14="http://schemas.microsoft.com/office/drawing/2010/main">
                              <a:noFill/>
                            </a14:hiddenFill>
                          </a:ext>
                        </a:extLst>
                      </wps:spPr>
                      <wps:bodyPr/>
                    </wps:wsp>
                    <wps:wsp>
                      <wps:cNvPr id="11" name="Line 10"/>
                      <wps:cNvCnPr/>
                      <wps:spPr bwMode="auto">
                        <a:xfrm flipV="1">
                          <a:off x="0" y="0"/>
                          <a:ext cx="0" cy="387985"/>
                        </a:xfrm>
                        <a:prstGeom prst="line">
                          <a:avLst/>
                        </a:prstGeom>
                        <a:noFill/>
                        <a:ln w="44958" cap="rnd">
                          <a:solidFill>
                            <a:srgbClr val="444141"/>
                          </a:solidFill>
                          <a:prstDash val="solid"/>
                          <a:round/>
                          <a:headEnd/>
                          <a:tailEnd/>
                        </a:ln>
                        <a:extLst>
                          <a:ext uri="{909E8E84-426E-40DD-AFC4-6F175D3DCCD1}">
                            <a14:hiddenFill xmlns:a14="http://schemas.microsoft.com/office/drawing/2010/main">
                              <a:noFill/>
                            </a14:hiddenFill>
                          </a:ext>
                        </a:extLst>
                      </wps:spPr>
                      <wps:bodyPr/>
                    </wps:wsp>
                    <wps:wsp>
                      <wps:cNvPr id="12" name="Line 11"/>
                      <wps:cNvCnPr/>
                      <wps:spPr bwMode="auto">
                        <a:xfrm flipV="1">
                          <a:off x="1014074" y="0"/>
                          <a:ext cx="220345" cy="387985"/>
                        </a:xfrm>
                        <a:prstGeom prst="line">
                          <a:avLst/>
                        </a:prstGeom>
                        <a:noFill/>
                        <a:ln w="44958" cap="rnd">
                          <a:solidFill>
                            <a:srgbClr val="444141"/>
                          </a:solidFill>
                          <a:prstDash val="solid"/>
                          <a:round/>
                          <a:headEnd/>
                          <a:tailEnd/>
                        </a:ln>
                        <a:extLst>
                          <a:ext uri="{909E8E84-426E-40DD-AFC4-6F175D3DCCD1}">
                            <a14:hiddenFill xmlns:a14="http://schemas.microsoft.com/office/drawing/2010/main">
                              <a:noFill/>
                            </a14:hiddenFill>
                          </a:ext>
                        </a:extLst>
                      </wps:spPr>
                      <wps:bodyPr/>
                    </wps:wsp>
                    <wps:wsp>
                      <wps:cNvPr id="46" name="Line 12"/>
                      <wps:cNvCnPr/>
                      <wps:spPr bwMode="auto">
                        <a:xfrm>
                          <a:off x="1079079" y="767056"/>
                          <a:ext cx="313055" cy="0"/>
                        </a:xfrm>
                        <a:prstGeom prst="line">
                          <a:avLst/>
                        </a:prstGeom>
                        <a:noFill/>
                        <a:ln w="44958" cap="rnd">
                          <a:solidFill>
                            <a:srgbClr val="706D6E"/>
                          </a:solidFill>
                          <a:prstDash val="solid"/>
                          <a:round/>
                          <a:headEnd/>
                          <a:tailEnd/>
                        </a:ln>
                        <a:extLst>
                          <a:ext uri="{909E8E84-426E-40DD-AFC4-6F175D3DCCD1}">
                            <a14:hiddenFill xmlns:a14="http://schemas.microsoft.com/office/drawing/2010/main">
                              <a:noFill/>
                            </a14:hiddenFill>
                          </a:ext>
                        </a:extLst>
                      </wps:spPr>
                      <wps:bodyPr/>
                    </wps:wsp>
                    <wps:wsp>
                      <wps:cNvPr id="48" name="Line 13"/>
                      <wps:cNvCnPr/>
                      <wps:spPr bwMode="auto">
                        <a:xfrm>
                          <a:off x="0" y="684717"/>
                          <a:ext cx="312420" cy="0"/>
                        </a:xfrm>
                        <a:prstGeom prst="line">
                          <a:avLst/>
                        </a:prstGeom>
                        <a:noFill/>
                        <a:ln w="44958" cap="rnd">
                          <a:solidFill>
                            <a:srgbClr val="706D6E"/>
                          </a:solidFill>
                          <a:prstDash val="solid"/>
                          <a:round/>
                          <a:headEnd/>
                          <a:tailEnd/>
                        </a:ln>
                        <a:extLst>
                          <a:ext uri="{909E8E84-426E-40DD-AFC4-6F175D3DCCD1}">
                            <a14:hiddenFill xmlns:a14="http://schemas.microsoft.com/office/drawing/2010/main">
                              <a:noFill/>
                            </a14:hiddenFill>
                          </a:ext>
                        </a:extLst>
                      </wps:spPr>
                      <wps:bodyPr/>
                    </wps:wsp>
                    <wps:wsp>
                      <wps:cNvPr id="49" name="Line 14"/>
                      <wps:cNvCnPr/>
                      <wps:spPr bwMode="auto">
                        <a:xfrm flipH="1" flipV="1">
                          <a:off x="459367" y="494036"/>
                          <a:ext cx="220980" cy="384175"/>
                        </a:xfrm>
                        <a:prstGeom prst="line">
                          <a:avLst/>
                        </a:prstGeom>
                        <a:noFill/>
                        <a:ln w="44958" cap="rnd">
                          <a:solidFill>
                            <a:srgbClr val="706D6E"/>
                          </a:solidFill>
                          <a:prstDash val="solid"/>
                          <a:round/>
                          <a:headEnd/>
                          <a:tailEnd/>
                        </a:ln>
                        <a:extLst>
                          <a:ext uri="{909E8E84-426E-40DD-AFC4-6F175D3DCCD1}">
                            <a14:hiddenFill xmlns:a14="http://schemas.microsoft.com/office/drawing/2010/main">
                              <a:noFill/>
                            </a14:hiddenFill>
                          </a:ext>
                        </a:extLst>
                      </wps:spPr>
                      <wps:bodyPr/>
                    </wps:wsp>
                    <wps:wsp>
                      <wps:cNvPr id="50" name="Line 15"/>
                      <wps:cNvCnPr/>
                      <wps:spPr bwMode="auto">
                        <a:xfrm flipH="1" flipV="1">
                          <a:off x="1235090" y="975071"/>
                          <a:ext cx="220345" cy="387350"/>
                        </a:xfrm>
                        <a:prstGeom prst="line">
                          <a:avLst/>
                        </a:prstGeom>
                        <a:noFill/>
                        <a:ln w="44958" cap="rnd">
                          <a:solidFill>
                            <a:srgbClr val="9C9A9B"/>
                          </a:solidFill>
                          <a:prstDash val="solid"/>
                          <a:round/>
                          <a:headEnd/>
                          <a:tailEnd/>
                        </a:ln>
                        <a:extLst>
                          <a:ext uri="{909E8E84-426E-40DD-AFC4-6F175D3DCCD1}">
                            <a14:hiddenFill xmlns:a14="http://schemas.microsoft.com/office/drawing/2010/main">
                              <a:noFill/>
                            </a14:hiddenFill>
                          </a:ext>
                        </a:extLst>
                      </wps:spPr>
                      <wps:bodyPr/>
                    </wps:wsp>
                    <wps:wsp>
                      <wps:cNvPr id="52" name="Line 16"/>
                      <wps:cNvCnPr/>
                      <wps:spPr bwMode="auto">
                        <a:xfrm flipV="1">
                          <a:off x="312023" y="975071"/>
                          <a:ext cx="0" cy="387350"/>
                        </a:xfrm>
                        <a:prstGeom prst="line">
                          <a:avLst/>
                        </a:prstGeom>
                        <a:noFill/>
                        <a:ln w="44958" cap="rnd">
                          <a:solidFill>
                            <a:srgbClr val="9C9A9B"/>
                          </a:solidFill>
                          <a:prstDash val="solid"/>
                          <a:round/>
                          <a:headEnd/>
                          <a:tailEnd/>
                        </a:ln>
                        <a:extLst>
                          <a:ext uri="{909E8E84-426E-40DD-AFC4-6F175D3DCCD1}">
                            <a14:hiddenFill xmlns:a14="http://schemas.microsoft.com/office/drawing/2010/main">
                              <a:noFill/>
                            </a14:hiddenFill>
                          </a:ext>
                        </a:extLst>
                      </wps:spPr>
                      <wps:bodyPr/>
                    </wps:wsp>
                    <wps:wsp>
                      <wps:cNvPr id="53" name="Line 17"/>
                      <wps:cNvCnPr/>
                      <wps:spPr bwMode="auto">
                        <a:xfrm flipV="1">
                          <a:off x="684717" y="975071"/>
                          <a:ext cx="220980" cy="384175"/>
                        </a:xfrm>
                        <a:prstGeom prst="line">
                          <a:avLst/>
                        </a:prstGeom>
                        <a:noFill/>
                        <a:ln w="44958" cap="rnd">
                          <a:solidFill>
                            <a:srgbClr val="9C9A9B"/>
                          </a:solidFill>
                          <a:prstDash val="solid"/>
                          <a:round/>
                          <a:headEnd/>
                          <a:tailEnd/>
                        </a:ln>
                        <a:extLst>
                          <a:ext uri="{909E8E84-426E-40DD-AFC4-6F175D3DCCD1}">
                            <a14:hiddenFill xmlns:a14="http://schemas.microsoft.com/office/drawing/2010/main">
                              <a:noFill/>
                            </a14:hiddenFill>
                          </a:ext>
                        </a:extLst>
                      </wps:spPr>
                      <wps:bodyPr/>
                    </wps:wsp>
                    <wps:wsp>
                      <wps:cNvPr id="54" name="Line 18"/>
                      <wps:cNvCnPr/>
                      <wps:spPr bwMode="auto">
                        <a:xfrm flipV="1">
                          <a:off x="905733" y="1469107"/>
                          <a:ext cx="0" cy="387985"/>
                        </a:xfrm>
                        <a:prstGeom prst="line">
                          <a:avLst/>
                        </a:prstGeom>
                        <a:noFill/>
                        <a:ln w="44958" cap="rnd">
                          <a:solidFill>
                            <a:srgbClr val="BDBCBC"/>
                          </a:solidFill>
                          <a:prstDash val="solid"/>
                          <a:round/>
                          <a:headEnd/>
                          <a:tailEnd/>
                        </a:ln>
                        <a:extLst>
                          <a:ext uri="{909E8E84-426E-40DD-AFC4-6F175D3DCCD1}">
                            <a14:hiddenFill xmlns:a14="http://schemas.microsoft.com/office/drawing/2010/main">
                              <a:noFill/>
                            </a14:hiddenFill>
                          </a:ext>
                        </a:extLst>
                      </wps:spPr>
                      <wps:bodyPr/>
                    </wps:wsp>
                    <wps:wsp>
                      <wps:cNvPr id="55" name="Line 19"/>
                      <wps:cNvCnPr/>
                      <wps:spPr bwMode="auto">
                        <a:xfrm flipV="1">
                          <a:off x="459367" y="1963143"/>
                          <a:ext cx="0" cy="387985"/>
                        </a:xfrm>
                        <a:prstGeom prst="line">
                          <a:avLst/>
                        </a:prstGeom>
                        <a:noFill/>
                        <a:ln w="44958" cap="rnd">
                          <a:solidFill>
                            <a:srgbClr val="444141"/>
                          </a:solidFill>
                          <a:prstDash val="solid"/>
                          <a:round/>
                          <a:headEnd/>
                          <a:tailEnd/>
                        </a:ln>
                        <a:extLst>
                          <a:ext uri="{909E8E84-426E-40DD-AFC4-6F175D3DCCD1}">
                            <a14:hiddenFill xmlns:a14="http://schemas.microsoft.com/office/drawing/2010/main">
                              <a:noFill/>
                            </a14:hiddenFill>
                          </a:ext>
                        </a:extLst>
                      </wps:spPr>
                      <wps:bodyPr/>
                    </wps:wsp>
                    <wps:wsp>
                      <wps:cNvPr id="56" name="Line 20"/>
                      <wps:cNvCnPr/>
                      <wps:spPr bwMode="auto">
                        <a:xfrm flipV="1">
                          <a:off x="0" y="1963143"/>
                          <a:ext cx="0" cy="387985"/>
                        </a:xfrm>
                        <a:prstGeom prst="line">
                          <a:avLst/>
                        </a:prstGeom>
                        <a:noFill/>
                        <a:ln w="44958" cap="rnd">
                          <a:solidFill>
                            <a:srgbClr val="444141"/>
                          </a:solidFill>
                          <a:prstDash val="solid"/>
                          <a:round/>
                          <a:headEnd/>
                          <a:tailEnd/>
                        </a:ln>
                        <a:extLst>
                          <a:ext uri="{909E8E84-426E-40DD-AFC4-6F175D3DCCD1}">
                            <a14:hiddenFill xmlns:a14="http://schemas.microsoft.com/office/drawing/2010/main">
                              <a:noFill/>
                            </a14:hiddenFill>
                          </a:ext>
                        </a:extLst>
                      </wps:spPr>
                      <wps:bodyPr/>
                    </wps:wsp>
                    <wps:wsp>
                      <wps:cNvPr id="57" name="Line 21"/>
                      <wps:cNvCnPr/>
                      <wps:spPr bwMode="auto">
                        <a:xfrm flipV="1">
                          <a:off x="1014074" y="1963143"/>
                          <a:ext cx="220345" cy="387985"/>
                        </a:xfrm>
                        <a:prstGeom prst="line">
                          <a:avLst/>
                        </a:prstGeom>
                        <a:noFill/>
                        <a:ln w="44958" cap="rnd">
                          <a:solidFill>
                            <a:srgbClr val="444141"/>
                          </a:solidFill>
                          <a:prstDash val="solid"/>
                          <a:round/>
                          <a:headEnd/>
                          <a:tailEnd/>
                        </a:ln>
                        <a:extLst>
                          <a:ext uri="{909E8E84-426E-40DD-AFC4-6F175D3DCCD1}">
                            <a14:hiddenFill xmlns:a14="http://schemas.microsoft.com/office/drawing/2010/main">
                              <a:noFill/>
                            </a14:hiddenFill>
                          </a:ext>
                        </a:extLst>
                      </wps:spPr>
                      <wps:bodyPr/>
                    </wps:wsp>
                    <wps:wsp>
                      <wps:cNvPr id="58" name="Line 22"/>
                      <wps:cNvCnPr/>
                      <wps:spPr bwMode="auto">
                        <a:xfrm>
                          <a:off x="1079079" y="2236163"/>
                          <a:ext cx="313055" cy="0"/>
                        </a:xfrm>
                        <a:prstGeom prst="line">
                          <a:avLst/>
                        </a:prstGeom>
                        <a:noFill/>
                        <a:ln w="44958" cap="rnd">
                          <a:solidFill>
                            <a:srgbClr val="444141"/>
                          </a:solidFill>
                          <a:prstDash val="solid"/>
                          <a:round/>
                          <a:headEnd/>
                          <a:tailEnd/>
                        </a:ln>
                        <a:extLst>
                          <a:ext uri="{909E8E84-426E-40DD-AFC4-6F175D3DCCD1}">
                            <a14:hiddenFill xmlns:a14="http://schemas.microsoft.com/office/drawing/2010/main">
                              <a:noFill/>
                            </a14:hiddenFill>
                          </a:ext>
                        </a:extLst>
                      </wps:spPr>
                      <wps:bodyPr/>
                    </wps:wsp>
                    <wps:wsp>
                      <wps:cNvPr id="59" name="Line 23"/>
                      <wps:cNvCnPr/>
                      <wps:spPr bwMode="auto">
                        <a:xfrm flipH="1" flipV="1">
                          <a:off x="1235090" y="1963143"/>
                          <a:ext cx="220345" cy="387985"/>
                        </a:xfrm>
                        <a:prstGeom prst="line">
                          <a:avLst/>
                        </a:prstGeom>
                        <a:noFill/>
                        <a:ln w="44958" cap="rnd">
                          <a:solidFill>
                            <a:srgbClr val="444141"/>
                          </a:solidFill>
                          <a:prstDash val="solid"/>
                          <a:round/>
                          <a:headEnd/>
                          <a:tailEnd/>
                        </a:ln>
                        <a:extLst>
                          <a:ext uri="{909E8E84-426E-40DD-AFC4-6F175D3DCCD1}">
                            <a14:hiddenFill xmlns:a14="http://schemas.microsoft.com/office/drawing/2010/main">
                              <a:noFill/>
                            </a14:hiddenFill>
                          </a:ext>
                        </a:extLst>
                      </wps:spPr>
                      <wps:bodyPr/>
                    </wps:wsp>
                    <wps:wsp>
                      <wps:cNvPr id="60" name="Line 24"/>
                      <wps:cNvCnPr/>
                      <wps:spPr bwMode="auto">
                        <a:xfrm flipV="1">
                          <a:off x="312023" y="1963143"/>
                          <a:ext cx="0" cy="387985"/>
                        </a:xfrm>
                        <a:prstGeom prst="line">
                          <a:avLst/>
                        </a:prstGeom>
                        <a:noFill/>
                        <a:ln w="44958" cap="rnd">
                          <a:solidFill>
                            <a:srgbClr val="444141"/>
                          </a:solidFill>
                          <a:prstDash val="solid"/>
                          <a:round/>
                          <a:headEnd/>
                          <a:tailEnd/>
                        </a:ln>
                        <a:extLst>
                          <a:ext uri="{909E8E84-426E-40DD-AFC4-6F175D3DCCD1}">
                            <a14:hiddenFill xmlns:a14="http://schemas.microsoft.com/office/drawing/2010/main">
                              <a:noFill/>
                            </a14:hiddenFill>
                          </a:ext>
                        </a:extLst>
                      </wps:spPr>
                      <wps:bodyPr/>
                    </wps:wsp>
                    <wps:wsp>
                      <wps:cNvPr id="61" name="Line 25"/>
                      <wps:cNvCnPr/>
                      <wps:spPr bwMode="auto">
                        <a:xfrm>
                          <a:off x="0" y="2158158"/>
                          <a:ext cx="312420" cy="0"/>
                        </a:xfrm>
                        <a:prstGeom prst="line">
                          <a:avLst/>
                        </a:prstGeom>
                        <a:noFill/>
                        <a:ln w="44958" cap="rnd">
                          <a:solidFill>
                            <a:srgbClr val="444141"/>
                          </a:solidFill>
                          <a:prstDash val="solid"/>
                          <a:round/>
                          <a:headEnd/>
                          <a:tailEnd/>
                        </a:ln>
                        <a:extLst>
                          <a:ext uri="{909E8E84-426E-40DD-AFC4-6F175D3DCCD1}">
                            <a14:hiddenFill xmlns:a14="http://schemas.microsoft.com/office/drawing/2010/main">
                              <a:noFill/>
                            </a14:hiddenFill>
                          </a:ext>
                        </a:extLst>
                      </wps:spPr>
                      <wps:bodyPr/>
                    </wps:wsp>
                    <wps:wsp>
                      <wps:cNvPr id="62" name="Line 26"/>
                      <wps:cNvCnPr/>
                      <wps:spPr bwMode="auto">
                        <a:xfrm flipV="1">
                          <a:off x="905733" y="1963143"/>
                          <a:ext cx="0" cy="387985"/>
                        </a:xfrm>
                        <a:prstGeom prst="line">
                          <a:avLst/>
                        </a:prstGeom>
                        <a:noFill/>
                        <a:ln w="44958" cap="rnd">
                          <a:solidFill>
                            <a:srgbClr val="444141"/>
                          </a:solidFill>
                          <a:prstDash val="solid"/>
                          <a:round/>
                          <a:headEnd/>
                          <a:tailEnd/>
                        </a:ln>
                        <a:extLst>
                          <a:ext uri="{909E8E84-426E-40DD-AFC4-6F175D3DCCD1}">
                            <a14:hiddenFill xmlns:a14="http://schemas.microsoft.com/office/drawing/2010/main">
                              <a:noFill/>
                            </a14:hiddenFill>
                          </a:ext>
                        </a:extLst>
                      </wps:spPr>
                      <wps:bodyPr/>
                    </wps:wsp>
                    <wps:wsp>
                      <wps:cNvPr id="63" name="Line 27"/>
                      <wps:cNvCnPr/>
                      <wps:spPr bwMode="auto">
                        <a:xfrm flipV="1">
                          <a:off x="684717" y="1963143"/>
                          <a:ext cx="220980" cy="384175"/>
                        </a:xfrm>
                        <a:prstGeom prst="line">
                          <a:avLst/>
                        </a:prstGeom>
                        <a:noFill/>
                        <a:ln w="44958" cap="rnd">
                          <a:solidFill>
                            <a:srgbClr val="444141"/>
                          </a:solidFill>
                          <a:prstDash val="solid"/>
                          <a:round/>
                          <a:headEnd/>
                          <a:tailEnd/>
                        </a:ln>
                        <a:extLst>
                          <a:ext uri="{909E8E84-426E-40DD-AFC4-6F175D3DCCD1}">
                            <a14:hiddenFill xmlns:a14="http://schemas.microsoft.com/office/drawing/2010/main">
                              <a:noFill/>
                            </a14:hiddenFill>
                          </a:ext>
                        </a:extLst>
                      </wps:spPr>
                      <wps:bodyPr/>
                    </wps:wsp>
                    <wps:wsp>
                      <wps:cNvPr id="64" name="Line 28"/>
                      <wps:cNvCnPr/>
                      <wps:spPr bwMode="auto">
                        <a:xfrm flipH="1" flipV="1">
                          <a:off x="459367" y="1963143"/>
                          <a:ext cx="220980" cy="384175"/>
                        </a:xfrm>
                        <a:prstGeom prst="line">
                          <a:avLst/>
                        </a:prstGeom>
                        <a:noFill/>
                        <a:ln w="44958" cap="rnd">
                          <a:solidFill>
                            <a:srgbClr val="444141"/>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5CC0BDB" id="Group 9" o:spid="_x0000_s1026" style="width:114.6pt;height:185.15pt;mso-position-horizontal-relative:char;mso-position-vertical-relative:line" coordsize="14554,23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">
              <v:line id="Line 9" o:spid="_x0000_s1027" style="position:absolute;flip:y;visibility:visible;mso-wrap-style:square" from="4593,0" to="4593,3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" strokecolor="#444141" strokeweight="3.54pt">
                <v:stroke endcap="round"/>
              </v:line>
              <v:line id="Line 10" o:spid="_x0000_s1028" style="position:absolute;flip:y;visibility:visible;mso-wrap-style:square" from="0,0" to="0,3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" strokecolor="#444141" strokeweight="3.54pt">
                <v:stroke endcap="round"/>
              </v:line>
              <v:line id="Line 11" o:spid="_x0000_s1029" style="position:absolute;flip:y;visibility:visible;mso-wrap-style:square" from="10140,0" to="12344,3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" strokecolor="#444141" strokeweight="3.54pt">
                <v:stroke endcap="round"/>
              </v:line>
              <v:line id="Line 12" o:spid="_x0000_s1030" style="position:absolute;visibility:visible;mso-wrap-style:square" from="10790,7670" to="13921,7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" strokecolor="#706d6e" strokeweight="3.54pt">
                <v:stroke endcap="round"/>
              </v:line>
              <v:line id="Line 13" o:spid="_x0000_s1031" style="position:absolute;visibility:visible;mso-wrap-style:square" from="0,6847" to="3124,6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" strokecolor="#706d6e" strokeweight="3.54pt">
                <v:stroke endcap="round"/>
              </v:line>
              <v:line id="Line 14" o:spid="_x0000_s1032" style="position:absolute;flip:x y;visibility:visible;mso-wrap-style:square" from="4593,4940" to="6803,8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" strokecolor="#706d6e" strokeweight="3.54pt">
                <v:stroke endcap="round"/>
              </v:line>
              <v:line id="Line 15" o:spid="_x0000_s1033" style="position:absolute;flip:x y;visibility:visible;mso-wrap-style:square" from="12350,9750" to="14554,1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" strokecolor="#9c9a9b" strokeweight="3.54pt">
                <v:stroke endcap="round"/>
              </v:line>
              <v:line id="Line 16" o:spid="_x0000_s1034" style="position:absolute;flip:y;visibility:visible;mso-wrap-style:square" from="3120,9750" to="3120,1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" strokecolor="#9c9a9b" strokeweight="3.54pt">
                <v:stroke endcap="round"/>
              </v:line>
              <v:line id="Line 17" o:spid="_x0000_s1035" style="position:absolute;flip:y;visibility:visible;mso-wrap-style:square" from="6847,9750" to="9056,1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" strokecolor="#9c9a9b" strokeweight="3.54pt">
                <v:stroke endcap="round"/>
              </v:line>
              <v:line id="Line 18" o:spid="_x0000_s1036" style="position:absolute;flip:y;visibility:visible;mso-wrap-style:square" from="9057,14691" to="9057,18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" strokecolor="#bdbcbc" strokeweight="3.54pt">
                <v:stroke endcap="round"/>
              </v:line>
              <v:line id="Line 19" o:spid="_x0000_s1037" style="position:absolute;flip:y;visibility:visible;mso-wrap-style:square" from="4593,19631" to="4593,23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" strokecolor="#444141" strokeweight="3.54pt">
                <v:stroke endcap="round"/>
              </v:line>
              <v:line id="Line 20" o:spid="_x0000_s1038" style="position:absolute;flip:y;visibility:visible;mso-wrap-style:square" from="0,19631" to="0,23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" strokecolor="#444141" strokeweight="3.54pt">
                <v:stroke endcap="round"/>
              </v:line>
              <v:line id="Line 21" o:spid="_x0000_s1039" style="position:absolute;flip:y;visibility:visible;mso-wrap-style:square" from="10140,19631" to="12344,23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" strokecolor="#444141" strokeweight="3.54pt">
                <v:stroke endcap="round"/>
              </v:line>
              <v:line id="Line 22" o:spid="_x0000_s1040" style="position:absolute;visibility:visible;mso-wrap-style:square" from="10790,22361" to="13921,2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" strokecolor="#444141" strokeweight="3.54pt">
                <v:stroke endcap="round"/>
              </v:line>
              <v:line id="Line 23" o:spid="_x0000_s1041" style="position:absolute;flip:x y;visibility:visible;mso-wrap-style:square" from="12350,19631" to="14554,23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" strokecolor="#444141" strokeweight="3.54pt">
                <v:stroke endcap="round"/>
              </v:line>
              <v:line id="Line 24" o:spid="_x0000_s1042" style="position:absolute;flip:y;visibility:visible;mso-wrap-style:square" from="3120,19631" to="3120,23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" strokecolor="#444141" strokeweight="3.54pt">
                <v:stroke endcap="round"/>
              </v:line>
              <v:line id="Line 25" o:spid="_x0000_s1043" style="position:absolute;visibility:visible;mso-wrap-style:square" from="0,21581" to="3124,21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" strokecolor="#444141" strokeweight="3.54pt">
                <v:stroke endcap="round"/>
              </v:line>
              <v:line id="Line 26" o:spid="_x0000_s1044" style="position:absolute;flip:y;visibility:visible;mso-wrap-style:square" from="9057,19631" to="9057,23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" strokecolor="#444141" strokeweight="3.54pt">
                <v:stroke endcap="round"/>
              </v:line>
              <v:line id="Line 27" o:spid="_x0000_s1045" style="position:absolute;flip:y;visibility:visible;mso-wrap-style:square" from="6847,19631" to="9056,2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" strokecolor="#444141" strokeweight="3.54pt">
                <v:stroke endcap="round"/>
              </v:line>
              <v:line id="Line 28" o:spid="_x0000_s1046" style="position:absolute;flip:x y;visibility:visible;mso-wrap-style:square" from="4593,19631" to="6803,2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" strokecolor="#444141" strokeweight="3.54pt">
                <v:stroke endcap="round"/>
              </v:line>
              <w10:anchorlock/>
            </v:group>
          </w:pict>
        </mc:Fallback>
      </mc:AlternateContent>
    </w:r>
    <w:r w:rsidRPr="00A05DFA">
      <w:rPr>
        <w:noProof/>
        <w:lang w:eastAsia="en-AU"/>
      </w:rPr>
      <w:drawing>
        <wp:inline distT="0" distB="0" distL="0" distR="0" wp14:anchorId="4059366D" wp14:editId="794F8BE4">
          <wp:extent cx="10692000" cy="3819600"/>
          <wp:effectExtent l="0" t="0" r="0" b="0"/>
          <wp:docPr id="3" name="Picture 3" descr="\\psf\Home\Dropbox\Salmon Design\SD1201 HMA report template\ Graphics\Page 2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f\Home\Dropbox\Salmon Design\SD1201 HMA report template\ Graphics\Page 2 Graph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2000" cy="38196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3C8DD" w14:textId="77777777" w:rsidR="00AC1A4F" w:rsidRDefault="00AC1A4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51452" w14:textId="77777777" w:rsidR="00AC1A4F" w:rsidRDefault="00AC1A4F"/>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A9822" w14:textId="77777777" w:rsidR="00AC1A4F" w:rsidRDefault="00AC1A4F"/>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BED06" w14:textId="1C7EF414" w:rsidR="00AC1A4F" w:rsidRPr="00BC6E6C" w:rsidRDefault="00AC1A4F" w:rsidP="00BC6E6C">
    <w:pPr>
      <w:pStyle w:val="Footer"/>
      <w:rPr>
        <w:rFonts w:ascii="Franklin Gothic Book" w:hAnsi="Franklin Gothic Book"/>
        <w:sz w:val="16"/>
      </w:rPr>
    </w:pPr>
    <w:r w:rsidRPr="00C16AA2">
      <w:rPr>
        <w:rFonts w:ascii="Franklin Gothic Book" w:hAnsi="Franklin Gothic Book"/>
        <w:sz w:val="16"/>
      </w:rPr>
      <w:t>HEALTHCARE MANAGEMENT ADVISORS – HELPING CREATE BETTER HEALTH SERVICES</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2DAC9" w14:textId="378FFEA8" w:rsidR="00AC1A4F" w:rsidRPr="00C61DC7" w:rsidRDefault="00AC1A4F" w:rsidP="00E85AD7">
    <w:pPr>
      <w:pStyle w:val="BodyCopy"/>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575F"/>
    <w:multiLevelType w:val="multilevel"/>
    <w:tmpl w:val="E7228820"/>
    <w:styleLink w:val="TableBullets"/>
    <w:lvl w:ilvl="0">
      <w:start w:val="1"/>
      <w:numFmt w:val="bullet"/>
      <w:pStyle w:val="TableBullets1"/>
      <w:lvlText w:val="•"/>
      <w:lvlJc w:val="left"/>
      <w:pPr>
        <w:ind w:left="227" w:hanging="170"/>
      </w:pPr>
      <w:rPr>
        <w:rFonts w:ascii="Garamond" w:hAnsi="Garamond" w:hint="default"/>
        <w:color w:val="000000" w:themeColor="text1"/>
        <w:sz w:val="22"/>
      </w:rPr>
    </w:lvl>
    <w:lvl w:ilvl="1">
      <w:start w:val="1"/>
      <w:numFmt w:val="bullet"/>
      <w:pStyle w:val="TableBullets2"/>
      <w:lvlText w:val="–"/>
      <w:lvlJc w:val="left"/>
      <w:pPr>
        <w:ind w:left="454" w:hanging="227"/>
      </w:pPr>
      <w:rPr>
        <w:rFonts w:ascii="Garamond" w:hAnsi="Garamond" w:hint="default"/>
        <w:color w:val="787878" w:themeColor="text2"/>
      </w:rPr>
    </w:lvl>
    <w:lvl w:ilvl="2">
      <w:start w:val="1"/>
      <w:numFmt w:val="bullet"/>
      <w:lvlText w:val="–"/>
      <w:lvlJc w:val="left"/>
      <w:pPr>
        <w:ind w:left="624" w:hanging="170"/>
      </w:pPr>
      <w:rPr>
        <w:rFonts w:ascii="Garamond" w:hAnsi="Garamond" w:hint="default"/>
        <w:color w:val="787878" w:themeColor="text2"/>
      </w:rPr>
    </w:lvl>
    <w:lvl w:ilvl="3">
      <w:start w:val="1"/>
      <w:numFmt w:val="bullet"/>
      <w:lvlText w:val="-"/>
      <w:lvlJc w:val="left"/>
      <w:pPr>
        <w:ind w:left="765" w:hanging="141"/>
      </w:pPr>
      <w:rPr>
        <w:rFonts w:ascii="Garamond" w:hAnsi="Garamond" w:hint="default"/>
        <w:color w:val="787878" w:themeColor="text2"/>
      </w:rPr>
    </w:lvl>
    <w:lvl w:ilvl="4">
      <w:start w:val="1"/>
      <w:numFmt w:val="bullet"/>
      <w:pStyle w:val="TableBulletssmall1"/>
      <w:lvlText w:val="•"/>
      <w:lvlJc w:val="left"/>
      <w:pPr>
        <w:ind w:left="227" w:hanging="170"/>
      </w:pPr>
      <w:rPr>
        <w:rFonts w:ascii="Garamond" w:hAnsi="Garamond" w:hint="default"/>
        <w:color w:val="000000" w:themeColor="text1"/>
      </w:rPr>
    </w:lvl>
    <w:lvl w:ilvl="5">
      <w:start w:val="1"/>
      <w:numFmt w:val="bullet"/>
      <w:pStyle w:val="TableBulletssmall2"/>
      <w:lvlText w:val="–"/>
      <w:lvlJc w:val="left"/>
      <w:pPr>
        <w:ind w:left="454" w:hanging="227"/>
      </w:pPr>
      <w:rPr>
        <w:rFonts w:ascii="Garamond" w:hAnsi="Garamond" w:hint="default"/>
        <w:color w:val="787878" w:themeColor="text2"/>
      </w:rPr>
    </w:lvl>
    <w:lvl w:ilvl="6">
      <w:start w:val="1"/>
      <w:numFmt w:val="bullet"/>
      <w:lvlText w:val="–"/>
      <w:lvlJc w:val="left"/>
      <w:pPr>
        <w:ind w:left="624" w:hanging="170"/>
      </w:pPr>
      <w:rPr>
        <w:rFonts w:ascii="Garamond" w:hAnsi="Garamond" w:hint="default"/>
        <w:color w:val="787878" w:themeColor="text2"/>
      </w:rPr>
    </w:lvl>
    <w:lvl w:ilvl="7">
      <w:start w:val="1"/>
      <w:numFmt w:val="bullet"/>
      <w:lvlText w:val="-"/>
      <w:lvlJc w:val="left"/>
      <w:pPr>
        <w:ind w:left="765" w:hanging="141"/>
      </w:pPr>
      <w:rPr>
        <w:rFonts w:ascii="Garamond" w:hAnsi="Garamond" w:hint="default"/>
        <w:color w:val="787878" w:themeColor="text2"/>
      </w:rPr>
    </w:lvl>
    <w:lvl w:ilvl="8">
      <w:start w:val="1"/>
      <w:numFmt w:val="bullet"/>
      <w:lvlText w:val="•"/>
      <w:lvlJc w:val="left"/>
      <w:pPr>
        <w:ind w:left="170" w:hanging="170"/>
      </w:pPr>
      <w:rPr>
        <w:rFonts w:ascii="Garamond" w:hAnsi="Garamond" w:hint="default"/>
        <w:color w:val="000000" w:themeColor="text1"/>
      </w:rPr>
    </w:lvl>
  </w:abstractNum>
  <w:abstractNum w:abstractNumId="1" w15:restartNumberingAfterBreak="0">
    <w:nsid w:val="0C0E375A"/>
    <w:multiLevelType w:val="hybridMultilevel"/>
    <w:tmpl w:val="58C60F24"/>
    <w:lvl w:ilvl="0" w:tplc="4536AE38">
      <w:start w:val="1"/>
      <w:numFmt w:val="decimal"/>
      <w:pStyle w:val="Efficiency"/>
      <w:lvlText w:val="Efficiency assessment %1:"/>
      <w:lvlJc w:val="left"/>
      <w:pPr>
        <w:ind w:left="833" w:hanging="360"/>
      </w:pPr>
      <w:rPr>
        <w:rFonts w:ascii="Franklin Gothic Book" w:hAnsi="Franklin Gothic Book" w:hint="default"/>
        <w:caps w:val="0"/>
        <w:color w:val="4B4B4B" w:themeColor="accent2"/>
        <w:sz w:val="22"/>
        <w:u w:val="none"/>
      </w:r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2" w15:restartNumberingAfterBreak="0">
    <w:nsid w:val="12A86CFD"/>
    <w:multiLevelType w:val="hybridMultilevel"/>
    <w:tmpl w:val="D8CC9C9C"/>
    <w:lvl w:ilvl="0" w:tplc="4596EA36">
      <w:start w:val="1"/>
      <w:numFmt w:val="decimal"/>
      <w:pStyle w:val="Appropriatenessassessment"/>
      <w:lvlText w:val="Appropriateness assessment %1:"/>
      <w:lvlJc w:val="left"/>
      <w:pPr>
        <w:ind w:left="3732" w:hanging="360"/>
      </w:pPr>
      <w:rPr>
        <w:rFonts w:ascii="Franklin Gothic Book" w:hAnsi="Franklin Gothic Book" w:hint="default"/>
        <w:caps w:val="0"/>
        <w:color w:val="4B4B4B" w:themeColor="accent2"/>
        <w:sz w:val="22"/>
        <w:u w:val="none"/>
      </w:rPr>
    </w:lvl>
    <w:lvl w:ilvl="1" w:tplc="0C090019" w:tentative="1">
      <w:start w:val="1"/>
      <w:numFmt w:val="lowerLetter"/>
      <w:lvlText w:val="%2."/>
      <w:lvlJc w:val="left"/>
      <w:pPr>
        <w:ind w:left="4812" w:hanging="360"/>
      </w:pPr>
    </w:lvl>
    <w:lvl w:ilvl="2" w:tplc="0C09001B" w:tentative="1">
      <w:start w:val="1"/>
      <w:numFmt w:val="lowerRoman"/>
      <w:lvlText w:val="%3."/>
      <w:lvlJc w:val="right"/>
      <w:pPr>
        <w:ind w:left="5532" w:hanging="180"/>
      </w:pPr>
    </w:lvl>
    <w:lvl w:ilvl="3" w:tplc="0C09000F" w:tentative="1">
      <w:start w:val="1"/>
      <w:numFmt w:val="decimal"/>
      <w:lvlText w:val="%4."/>
      <w:lvlJc w:val="left"/>
      <w:pPr>
        <w:ind w:left="6252" w:hanging="360"/>
      </w:pPr>
    </w:lvl>
    <w:lvl w:ilvl="4" w:tplc="0C090019" w:tentative="1">
      <w:start w:val="1"/>
      <w:numFmt w:val="lowerLetter"/>
      <w:lvlText w:val="%5."/>
      <w:lvlJc w:val="left"/>
      <w:pPr>
        <w:ind w:left="6972" w:hanging="360"/>
      </w:pPr>
    </w:lvl>
    <w:lvl w:ilvl="5" w:tplc="0C09001B" w:tentative="1">
      <w:start w:val="1"/>
      <w:numFmt w:val="lowerRoman"/>
      <w:lvlText w:val="%6."/>
      <w:lvlJc w:val="right"/>
      <w:pPr>
        <w:ind w:left="7692" w:hanging="180"/>
      </w:pPr>
    </w:lvl>
    <w:lvl w:ilvl="6" w:tplc="0C09000F" w:tentative="1">
      <w:start w:val="1"/>
      <w:numFmt w:val="decimal"/>
      <w:lvlText w:val="%7."/>
      <w:lvlJc w:val="left"/>
      <w:pPr>
        <w:ind w:left="8412" w:hanging="360"/>
      </w:pPr>
    </w:lvl>
    <w:lvl w:ilvl="7" w:tplc="0C090019" w:tentative="1">
      <w:start w:val="1"/>
      <w:numFmt w:val="lowerLetter"/>
      <w:lvlText w:val="%8."/>
      <w:lvlJc w:val="left"/>
      <w:pPr>
        <w:ind w:left="9132" w:hanging="360"/>
      </w:pPr>
    </w:lvl>
    <w:lvl w:ilvl="8" w:tplc="0C09001B" w:tentative="1">
      <w:start w:val="1"/>
      <w:numFmt w:val="lowerRoman"/>
      <w:lvlText w:val="%9."/>
      <w:lvlJc w:val="right"/>
      <w:pPr>
        <w:ind w:left="9852" w:hanging="180"/>
      </w:pPr>
    </w:lvl>
  </w:abstractNum>
  <w:abstractNum w:abstractNumId="3" w15:restartNumberingAfterBreak="0">
    <w:nsid w:val="173B6C95"/>
    <w:multiLevelType w:val="multilevel"/>
    <w:tmpl w:val="8A88FDE0"/>
    <w:styleLink w:val="Bullets"/>
    <w:lvl w:ilvl="0">
      <w:start w:val="1"/>
      <w:numFmt w:val="bullet"/>
      <w:pStyle w:val="Bullets1"/>
      <w:lvlText w:val="•"/>
      <w:lvlJc w:val="left"/>
      <w:pPr>
        <w:tabs>
          <w:tab w:val="num" w:pos="170"/>
        </w:tabs>
        <w:ind w:left="170" w:hanging="170"/>
      </w:pPr>
      <w:rPr>
        <w:rFonts w:ascii="Garamond" w:hAnsi="Garamond" w:hint="default"/>
        <w:color w:val="000000" w:themeColor="text1"/>
        <w:sz w:val="22"/>
      </w:rPr>
    </w:lvl>
    <w:lvl w:ilvl="1">
      <w:start w:val="1"/>
      <w:numFmt w:val="bullet"/>
      <w:pStyle w:val="Bullets2"/>
      <w:lvlText w:val="–"/>
      <w:lvlJc w:val="left"/>
      <w:pPr>
        <w:tabs>
          <w:tab w:val="num" w:pos="397"/>
        </w:tabs>
        <w:ind w:left="397" w:hanging="227"/>
      </w:pPr>
      <w:rPr>
        <w:rFonts w:ascii="Garamond" w:hAnsi="Garamond" w:hint="default"/>
        <w:color w:val="787878" w:themeColor="text2"/>
      </w:rPr>
    </w:lvl>
    <w:lvl w:ilvl="2">
      <w:start w:val="1"/>
      <w:numFmt w:val="bullet"/>
      <w:pStyle w:val="Bullets3"/>
      <w:lvlText w:val="–"/>
      <w:lvlJc w:val="left"/>
      <w:pPr>
        <w:tabs>
          <w:tab w:val="num" w:pos="567"/>
        </w:tabs>
        <w:ind w:left="567" w:hanging="170"/>
      </w:pPr>
      <w:rPr>
        <w:rFonts w:ascii="Garamond" w:hAnsi="Garamond" w:hint="default"/>
        <w:color w:val="787878" w:themeColor="text2"/>
      </w:rPr>
    </w:lvl>
    <w:lvl w:ilvl="3">
      <w:start w:val="1"/>
      <w:numFmt w:val="bullet"/>
      <w:pStyle w:val="Bullets4"/>
      <w:lvlText w:val="-"/>
      <w:lvlJc w:val="left"/>
      <w:pPr>
        <w:tabs>
          <w:tab w:val="num" w:pos="709"/>
        </w:tabs>
        <w:ind w:left="709" w:hanging="142"/>
      </w:pPr>
      <w:rPr>
        <w:rFonts w:ascii="Garamond" w:hAnsi="Garamond" w:hint="default"/>
        <w:color w:val="787878" w:themeColor="text2"/>
      </w:rPr>
    </w:lvl>
    <w:lvl w:ilvl="4">
      <w:start w:val="1"/>
      <w:numFmt w:val="bullet"/>
      <w:lvlText w:val="•"/>
      <w:lvlJc w:val="left"/>
      <w:pPr>
        <w:tabs>
          <w:tab w:val="num" w:pos="170"/>
        </w:tabs>
        <w:ind w:left="170" w:hanging="170"/>
      </w:pPr>
      <w:rPr>
        <w:rFonts w:ascii="Garamond" w:hAnsi="Garamond" w:hint="default"/>
        <w:color w:val="000000" w:themeColor="text1"/>
      </w:rPr>
    </w:lvl>
    <w:lvl w:ilvl="5">
      <w:start w:val="1"/>
      <w:numFmt w:val="bullet"/>
      <w:lvlText w:val="–"/>
      <w:lvlJc w:val="left"/>
      <w:pPr>
        <w:tabs>
          <w:tab w:val="num" w:pos="397"/>
        </w:tabs>
        <w:ind w:left="397" w:hanging="227"/>
      </w:pPr>
      <w:rPr>
        <w:rFonts w:ascii="Garamond" w:hAnsi="Garamond" w:hint="default"/>
        <w:color w:val="787878" w:themeColor="text2"/>
      </w:rPr>
    </w:lvl>
    <w:lvl w:ilvl="6">
      <w:start w:val="1"/>
      <w:numFmt w:val="bullet"/>
      <w:lvlText w:val="–"/>
      <w:lvlJc w:val="left"/>
      <w:pPr>
        <w:tabs>
          <w:tab w:val="num" w:pos="567"/>
        </w:tabs>
        <w:ind w:left="567" w:hanging="170"/>
      </w:pPr>
      <w:rPr>
        <w:rFonts w:ascii="Garamond" w:hAnsi="Garamond" w:hint="default"/>
        <w:color w:val="787878" w:themeColor="text2"/>
      </w:rPr>
    </w:lvl>
    <w:lvl w:ilvl="7">
      <w:start w:val="1"/>
      <w:numFmt w:val="bullet"/>
      <w:lvlText w:val="-"/>
      <w:lvlJc w:val="left"/>
      <w:pPr>
        <w:tabs>
          <w:tab w:val="num" w:pos="709"/>
        </w:tabs>
        <w:ind w:left="709" w:hanging="142"/>
      </w:pPr>
      <w:rPr>
        <w:rFonts w:ascii="Garamond" w:hAnsi="Garamond" w:hint="default"/>
        <w:color w:val="787878" w:themeColor="text2"/>
      </w:rPr>
    </w:lvl>
    <w:lvl w:ilvl="8">
      <w:start w:val="1"/>
      <w:numFmt w:val="bullet"/>
      <w:lvlText w:val="•"/>
      <w:lvlJc w:val="left"/>
      <w:pPr>
        <w:tabs>
          <w:tab w:val="num" w:pos="170"/>
        </w:tabs>
        <w:ind w:left="170" w:hanging="170"/>
      </w:pPr>
      <w:rPr>
        <w:rFonts w:ascii="Garamond" w:hAnsi="Garamond" w:hint="default"/>
        <w:color w:val="000000" w:themeColor="text1"/>
      </w:rPr>
    </w:lvl>
  </w:abstractNum>
  <w:abstractNum w:abstractNumId="4" w15:restartNumberingAfterBreak="0">
    <w:nsid w:val="2DF72543"/>
    <w:multiLevelType w:val="multilevel"/>
    <w:tmpl w:val="97645286"/>
    <w:lvl w:ilvl="0">
      <w:start w:val="1"/>
      <w:numFmt w:val="decimal"/>
      <w:pStyle w:val="StageHeading"/>
      <w:lvlText w:val="Stage %1:"/>
      <w:lvlJc w:val="left"/>
      <w:pPr>
        <w:tabs>
          <w:tab w:val="num" w:pos="1418"/>
        </w:tabs>
        <w:ind w:left="1418" w:hanging="1418"/>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337F4A58"/>
    <w:multiLevelType w:val="hybridMultilevel"/>
    <w:tmpl w:val="9814B6F6"/>
    <w:lvl w:ilvl="0" w:tplc="478AC53E">
      <w:start w:val="1"/>
      <w:numFmt w:val="decimal"/>
      <w:pStyle w:val="Effectiveness"/>
      <w:lvlText w:val="Effectiveness assessment %1:"/>
      <w:lvlJc w:val="left"/>
      <w:pPr>
        <w:ind w:left="777" w:hanging="360"/>
      </w:pPr>
      <w:rPr>
        <w:rFonts w:ascii="Franklin Gothic Book" w:hAnsi="Franklin Gothic Book" w:hint="default"/>
        <w:color w:val="7F7F7F" w:themeColor="text1" w:themeTint="80"/>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6" w15:restartNumberingAfterBreak="0">
    <w:nsid w:val="3727115B"/>
    <w:multiLevelType w:val="multilevel"/>
    <w:tmpl w:val="94CA9BF6"/>
    <w:styleLink w:val="Headings"/>
    <w:lvl w:ilvl="0">
      <w:start w:val="1"/>
      <w:numFmt w:val="decimal"/>
      <w:pStyle w:val="Heading1"/>
      <w:lvlText w:val="%1"/>
      <w:lvlJc w:val="left"/>
      <w:pPr>
        <w:ind w:left="737" w:hanging="737"/>
      </w:pPr>
      <w:rPr>
        <w:rFonts w:hint="default"/>
      </w:rPr>
    </w:lvl>
    <w:lvl w:ilvl="1">
      <w:start w:val="1"/>
      <w:numFmt w:val="decimal"/>
      <w:pStyle w:val="Heading2"/>
      <w:lvlText w:val="%1.%2"/>
      <w:lvlJc w:val="left"/>
      <w:pPr>
        <w:ind w:left="992" w:hanging="992"/>
      </w:pPr>
      <w:rPr>
        <w:rFonts w:hint="default"/>
        <w:u w:val="none"/>
      </w:rPr>
    </w:lvl>
    <w:lvl w:ilvl="2">
      <w:start w:val="1"/>
      <w:numFmt w:val="decimal"/>
      <w:pStyle w:val="Heading3"/>
      <w:lvlText w:val="%1.%2.%3"/>
      <w:lvlJc w:val="left"/>
      <w:pPr>
        <w:ind w:left="992" w:hanging="992"/>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9%1"/>
      <w:lvlJc w:val="left"/>
      <w:pPr>
        <w:tabs>
          <w:tab w:val="num" w:pos="1248"/>
        </w:tabs>
        <w:ind w:left="1248" w:hanging="822"/>
      </w:pPr>
      <w:rPr>
        <w:rFonts w:hint="default"/>
      </w:rPr>
    </w:lvl>
  </w:abstractNum>
  <w:abstractNum w:abstractNumId="7" w15:restartNumberingAfterBreak="0">
    <w:nsid w:val="47007BF5"/>
    <w:multiLevelType w:val="hybridMultilevel"/>
    <w:tmpl w:val="C7D820B2"/>
    <w:lvl w:ilvl="0" w:tplc="1B5AA064">
      <w:start w:val="1"/>
      <w:numFmt w:val="decimal"/>
      <w:pStyle w:val="StrategicDirection"/>
      <w:lvlText w:val="Strategic Direction %1:"/>
      <w:lvlJc w:val="left"/>
      <w:pPr>
        <w:ind w:left="473" w:hanging="360"/>
      </w:pPr>
      <w:rPr>
        <w:rFonts w:ascii="Franklin Gothic Book" w:hAnsi="Franklin Gothic Book" w:hint="default"/>
        <w:caps w:val="0"/>
        <w:color w:val="000000" w:themeColor="text1"/>
        <w:sz w:val="20"/>
        <w:u w:val="none"/>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8" w15:restartNumberingAfterBreak="0">
    <w:nsid w:val="65135D2F"/>
    <w:multiLevelType w:val="multilevel"/>
    <w:tmpl w:val="7EC83984"/>
    <w:styleLink w:val="TableNumbers"/>
    <w:lvl w:ilvl="0">
      <w:start w:val="1"/>
      <w:numFmt w:val="decimal"/>
      <w:pStyle w:val="TableNumbers1"/>
      <w:lvlText w:val="(%1)"/>
      <w:lvlJc w:val="left"/>
      <w:pPr>
        <w:ind w:left="397" w:hanging="340"/>
      </w:pPr>
      <w:rPr>
        <w:rFonts w:hint="default"/>
      </w:rPr>
    </w:lvl>
    <w:lvl w:ilvl="1">
      <w:start w:val="1"/>
      <w:numFmt w:val="lowerLetter"/>
      <w:pStyle w:val="TableNumbers2"/>
      <w:lvlText w:val="(%2)"/>
      <w:lvlJc w:val="left"/>
      <w:pPr>
        <w:ind w:left="652" w:hanging="255"/>
      </w:pPr>
      <w:rPr>
        <w:rFonts w:hint="default"/>
      </w:rPr>
    </w:lvl>
    <w:lvl w:ilvl="2">
      <w:start w:val="1"/>
      <w:numFmt w:val="lowerRoman"/>
      <w:lvlText w:val="(%3)"/>
      <w:lvlJc w:val="left"/>
      <w:pPr>
        <w:ind w:left="1134" w:hanging="482"/>
      </w:pPr>
      <w:rPr>
        <w:rFonts w:hint="default"/>
      </w:rPr>
    </w:lvl>
    <w:lvl w:ilvl="3">
      <w:start w:val="1"/>
      <w:numFmt w:val="bullet"/>
      <w:lvlText w:val="-"/>
      <w:lvlJc w:val="left"/>
      <w:pPr>
        <w:tabs>
          <w:tab w:val="num" w:pos="1264"/>
        </w:tabs>
        <w:ind w:left="1332" w:hanging="198"/>
      </w:pPr>
      <w:rPr>
        <w:rFonts w:ascii="Garamond" w:hAnsi="Garamond" w:hint="default"/>
        <w:color w:val="787878" w:themeColor="text2"/>
      </w:rPr>
    </w:lvl>
    <w:lvl w:ilvl="4">
      <w:start w:val="1"/>
      <w:numFmt w:val="decimal"/>
      <w:pStyle w:val="TableNumberssmall1"/>
      <w:lvlText w:val="(%5)"/>
      <w:lvlJc w:val="left"/>
      <w:pPr>
        <w:ind w:left="397" w:hanging="340"/>
      </w:pPr>
      <w:rPr>
        <w:rFonts w:hint="default"/>
      </w:rPr>
    </w:lvl>
    <w:lvl w:ilvl="5">
      <w:start w:val="1"/>
      <w:numFmt w:val="lowerLetter"/>
      <w:pStyle w:val="TableNumberssmall2"/>
      <w:lvlText w:val="(%6)"/>
      <w:lvlJc w:val="left"/>
      <w:pPr>
        <w:ind w:left="652" w:hanging="255"/>
      </w:pPr>
      <w:rPr>
        <w:rFonts w:hint="default"/>
      </w:rPr>
    </w:lvl>
    <w:lvl w:ilvl="6">
      <w:start w:val="1"/>
      <w:numFmt w:val="lowerRoman"/>
      <w:lvlText w:val="(%7)"/>
      <w:lvlJc w:val="left"/>
      <w:pPr>
        <w:ind w:left="1134" w:hanging="482"/>
      </w:pPr>
      <w:rPr>
        <w:rFonts w:hint="default"/>
      </w:rPr>
    </w:lvl>
    <w:lvl w:ilvl="7">
      <w:start w:val="1"/>
      <w:numFmt w:val="bullet"/>
      <w:lvlText w:val="-"/>
      <w:lvlJc w:val="left"/>
      <w:pPr>
        <w:ind w:left="1332" w:hanging="198"/>
      </w:pPr>
      <w:rPr>
        <w:rFonts w:ascii="Garamond" w:hAnsi="Garamond" w:hint="default"/>
        <w:color w:val="787878" w:themeColor="text2"/>
      </w:rPr>
    </w:lvl>
    <w:lvl w:ilvl="8">
      <w:start w:val="1"/>
      <w:numFmt w:val="decimal"/>
      <w:lvlText w:val="(%9)"/>
      <w:lvlJc w:val="left"/>
      <w:pPr>
        <w:ind w:left="340" w:hanging="340"/>
      </w:pPr>
      <w:rPr>
        <w:rFonts w:hint="default"/>
      </w:rPr>
    </w:lvl>
  </w:abstractNum>
  <w:abstractNum w:abstractNumId="9" w15:restartNumberingAfterBreak="0">
    <w:nsid w:val="68ED06C5"/>
    <w:multiLevelType w:val="hybridMultilevel"/>
    <w:tmpl w:val="9E42CE9E"/>
    <w:lvl w:ilvl="0" w:tplc="1572FED0">
      <w:start w:val="1"/>
      <w:numFmt w:val="decimal"/>
      <w:pStyle w:val="KeyFinding"/>
      <w:lvlText w:val="Effectiveness assessment %1:"/>
      <w:lvlJc w:val="left"/>
      <w:pPr>
        <w:ind w:left="473" w:hanging="360"/>
      </w:pPr>
      <w:rPr>
        <w:rFonts w:ascii="Franklin Gothic Book" w:hAnsi="Franklin Gothic Book" w:hint="default"/>
        <w:caps w:val="0"/>
        <w:color w:val="4B4B4B" w:themeColor="accent2"/>
        <w:sz w:val="22"/>
        <w:u w:val="none"/>
      </w:rPr>
    </w:lvl>
    <w:lvl w:ilvl="1" w:tplc="04090019" w:tentative="1">
      <w:start w:val="1"/>
      <w:numFmt w:val="lowerLetter"/>
      <w:lvlText w:val="%2."/>
      <w:lvlJc w:val="left"/>
      <w:pPr>
        <w:ind w:left="4446" w:hanging="360"/>
      </w:pPr>
    </w:lvl>
    <w:lvl w:ilvl="2" w:tplc="0409001B" w:tentative="1">
      <w:start w:val="1"/>
      <w:numFmt w:val="lowerRoman"/>
      <w:lvlText w:val="%3."/>
      <w:lvlJc w:val="right"/>
      <w:pPr>
        <w:ind w:left="5166" w:hanging="180"/>
      </w:pPr>
    </w:lvl>
    <w:lvl w:ilvl="3" w:tplc="0409000F" w:tentative="1">
      <w:start w:val="1"/>
      <w:numFmt w:val="decimal"/>
      <w:lvlText w:val="%4."/>
      <w:lvlJc w:val="left"/>
      <w:pPr>
        <w:ind w:left="5886" w:hanging="360"/>
      </w:pPr>
    </w:lvl>
    <w:lvl w:ilvl="4" w:tplc="04090019" w:tentative="1">
      <w:start w:val="1"/>
      <w:numFmt w:val="lowerLetter"/>
      <w:lvlText w:val="%5."/>
      <w:lvlJc w:val="left"/>
      <w:pPr>
        <w:ind w:left="6606" w:hanging="360"/>
      </w:pPr>
    </w:lvl>
    <w:lvl w:ilvl="5" w:tplc="0409001B" w:tentative="1">
      <w:start w:val="1"/>
      <w:numFmt w:val="lowerRoman"/>
      <w:lvlText w:val="%6."/>
      <w:lvlJc w:val="right"/>
      <w:pPr>
        <w:ind w:left="7326" w:hanging="180"/>
      </w:pPr>
    </w:lvl>
    <w:lvl w:ilvl="6" w:tplc="0409000F" w:tentative="1">
      <w:start w:val="1"/>
      <w:numFmt w:val="decimal"/>
      <w:lvlText w:val="%7."/>
      <w:lvlJc w:val="left"/>
      <w:pPr>
        <w:ind w:left="8046" w:hanging="360"/>
      </w:pPr>
    </w:lvl>
    <w:lvl w:ilvl="7" w:tplc="04090019" w:tentative="1">
      <w:start w:val="1"/>
      <w:numFmt w:val="lowerLetter"/>
      <w:lvlText w:val="%8."/>
      <w:lvlJc w:val="left"/>
      <w:pPr>
        <w:ind w:left="8766" w:hanging="360"/>
      </w:pPr>
    </w:lvl>
    <w:lvl w:ilvl="8" w:tplc="0409001B" w:tentative="1">
      <w:start w:val="1"/>
      <w:numFmt w:val="lowerRoman"/>
      <w:lvlText w:val="%9."/>
      <w:lvlJc w:val="right"/>
      <w:pPr>
        <w:ind w:left="9486" w:hanging="180"/>
      </w:pPr>
    </w:lvl>
  </w:abstractNum>
  <w:abstractNum w:abstractNumId="10" w15:restartNumberingAfterBreak="0">
    <w:nsid w:val="6A6B5790"/>
    <w:multiLevelType w:val="multilevel"/>
    <w:tmpl w:val="7A20B558"/>
    <w:lvl w:ilvl="0">
      <w:start w:val="1"/>
      <w:numFmt w:val="upperLetter"/>
      <w:pStyle w:val="HeadingAppendix2"/>
      <w:lvlText w:val="Appendix %1"/>
      <w:lvlJc w:val="left"/>
      <w:pPr>
        <w:tabs>
          <w:tab w:val="num" w:pos="1985"/>
        </w:tabs>
        <w:ind w:left="0" w:firstLine="0"/>
      </w:pPr>
      <w:rPr>
        <w:rFonts w:hint="default"/>
      </w:rPr>
    </w:lvl>
    <w:lvl w:ilvl="1">
      <w:start w:val="1"/>
      <w:numFmt w:val="decimal"/>
      <w:lvlText w:val="%1.%2"/>
      <w:lvlJc w:val="left"/>
      <w:pPr>
        <w:tabs>
          <w:tab w:val="num" w:pos="567"/>
        </w:tabs>
        <w:ind w:left="567" w:hanging="567"/>
      </w:pPr>
      <w:rPr>
        <w:rFonts w:ascii="Arial" w:hAnsi="Arial" w:hint="default"/>
        <w:b/>
        <w:i w:val="0"/>
        <w:sz w:val="24"/>
        <w:szCs w:val="24"/>
      </w:rPr>
    </w:lvl>
    <w:lvl w:ilvl="2">
      <w:start w:val="1"/>
      <w:numFmt w:val="decimal"/>
      <w:lvlText w:val="%1.%2.%3"/>
      <w:lvlJc w:val="left"/>
      <w:pPr>
        <w:tabs>
          <w:tab w:val="num" w:pos="919"/>
        </w:tabs>
        <w:ind w:left="2" w:firstLine="0"/>
      </w:pPr>
      <w:rPr>
        <w:rFonts w:hint="default"/>
      </w:rPr>
    </w:lvl>
    <w:lvl w:ilvl="3">
      <w:start w:val="1"/>
      <w:numFmt w:val="decimal"/>
      <w:lvlText w:val="%1.%2.%3.%4"/>
      <w:lvlJc w:val="left"/>
      <w:pPr>
        <w:tabs>
          <w:tab w:val="num" w:pos="1223"/>
        </w:tabs>
        <w:ind w:left="1223" w:hanging="864"/>
      </w:pPr>
      <w:rPr>
        <w:rFonts w:hint="default"/>
      </w:rPr>
    </w:lvl>
    <w:lvl w:ilvl="4">
      <w:start w:val="1"/>
      <w:numFmt w:val="lowerRoman"/>
      <w:lvlText w:val="(%5)"/>
      <w:lvlJc w:val="left"/>
      <w:pPr>
        <w:tabs>
          <w:tab w:val="num" w:pos="699"/>
        </w:tabs>
        <w:ind w:left="699" w:hanging="340"/>
      </w:pPr>
      <w:rPr>
        <w:rFonts w:hint="default"/>
      </w:rPr>
    </w:lvl>
    <w:lvl w:ilvl="5">
      <w:start w:val="1"/>
      <w:numFmt w:val="decimal"/>
      <w:lvlText w:val="%1.%2.%3.%4.%5.%6"/>
      <w:lvlJc w:val="left"/>
      <w:pPr>
        <w:tabs>
          <w:tab w:val="num" w:pos="1511"/>
        </w:tabs>
        <w:ind w:left="1511" w:hanging="1152"/>
      </w:pPr>
      <w:rPr>
        <w:rFonts w:hint="default"/>
      </w:rPr>
    </w:lvl>
    <w:lvl w:ilvl="6">
      <w:start w:val="1"/>
      <w:numFmt w:val="decimal"/>
      <w:lvlText w:val="%1.%2.%3.%4.%5.%6.%7"/>
      <w:lvlJc w:val="left"/>
      <w:pPr>
        <w:tabs>
          <w:tab w:val="num" w:pos="1655"/>
        </w:tabs>
        <w:ind w:left="1655" w:hanging="1296"/>
      </w:pPr>
      <w:rPr>
        <w:rFonts w:hint="default"/>
      </w:rPr>
    </w:lvl>
    <w:lvl w:ilvl="7">
      <w:start w:val="1"/>
      <w:numFmt w:val="decimal"/>
      <w:lvlText w:val="%1.%2.%3.%4.%5.%6.%7.%8"/>
      <w:lvlJc w:val="left"/>
      <w:pPr>
        <w:tabs>
          <w:tab w:val="num" w:pos="1799"/>
        </w:tabs>
        <w:ind w:left="1799" w:hanging="1440"/>
      </w:pPr>
      <w:rPr>
        <w:rFonts w:hint="default"/>
      </w:rPr>
    </w:lvl>
    <w:lvl w:ilvl="8">
      <w:start w:val="1"/>
      <w:numFmt w:val="decimal"/>
      <w:lvlText w:val="%1.%2.%3.%4.%5.%6.%7.%8.%9"/>
      <w:lvlJc w:val="left"/>
      <w:pPr>
        <w:tabs>
          <w:tab w:val="num" w:pos="1943"/>
        </w:tabs>
        <w:ind w:left="1943" w:hanging="1584"/>
      </w:pPr>
      <w:rPr>
        <w:rFonts w:hint="default"/>
      </w:rPr>
    </w:lvl>
  </w:abstractNum>
  <w:abstractNum w:abstractNumId="11" w15:restartNumberingAfterBreak="0">
    <w:nsid w:val="6AFC2484"/>
    <w:multiLevelType w:val="multilevel"/>
    <w:tmpl w:val="D21C1198"/>
    <w:styleLink w:val="Sections"/>
    <w:lvl w:ilvl="0">
      <w:start w:val="1"/>
      <w:numFmt w:val="upperLetter"/>
      <w:pStyle w:val="SectionTitle"/>
      <w:lvlText w:val="SECTION %1:"/>
      <w:lvlJc w:val="left"/>
      <w:pPr>
        <w:tabs>
          <w:tab w:val="num" w:pos="1871"/>
        </w:tabs>
        <w:ind w:left="1871" w:hanging="1871"/>
      </w:pPr>
      <w:rPr>
        <w:rFonts w:ascii="Franklin Gothic Book" w:hAnsi="Franklin Gothic Book" w:hint="default"/>
        <w:color w:val="000000" w:themeColor="text1"/>
        <w:sz w:val="3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F5A2FE1"/>
    <w:multiLevelType w:val="multilevel"/>
    <w:tmpl w:val="A6242A8C"/>
    <w:styleLink w:val="Numbers"/>
    <w:lvl w:ilvl="0">
      <w:start w:val="1"/>
      <w:numFmt w:val="decimal"/>
      <w:pStyle w:val="Numbers1"/>
      <w:lvlText w:val="(%1)"/>
      <w:lvlJc w:val="left"/>
      <w:pPr>
        <w:ind w:left="454" w:hanging="454"/>
      </w:pPr>
      <w:rPr>
        <w:rFonts w:hint="default"/>
      </w:rPr>
    </w:lvl>
    <w:lvl w:ilvl="1">
      <w:start w:val="1"/>
      <w:numFmt w:val="lowerLetter"/>
      <w:pStyle w:val="Numbers2"/>
      <w:lvlText w:val="(%2)"/>
      <w:lvlJc w:val="left"/>
      <w:pPr>
        <w:ind w:left="765" w:hanging="311"/>
      </w:pPr>
      <w:rPr>
        <w:rFonts w:hint="default"/>
      </w:rPr>
    </w:lvl>
    <w:lvl w:ilvl="2">
      <w:start w:val="1"/>
      <w:numFmt w:val="lowerRoman"/>
      <w:pStyle w:val="Numbers3"/>
      <w:lvlText w:val="(%3)"/>
      <w:lvlJc w:val="left"/>
      <w:pPr>
        <w:ind w:left="1191" w:hanging="426"/>
      </w:pPr>
      <w:rPr>
        <w:rFonts w:hint="default"/>
      </w:rPr>
    </w:lvl>
    <w:lvl w:ilvl="3">
      <w:start w:val="1"/>
      <w:numFmt w:val="bullet"/>
      <w:pStyle w:val="Numbers4"/>
      <w:lvlText w:val="-"/>
      <w:lvlJc w:val="left"/>
      <w:pPr>
        <w:ind w:left="1332" w:hanging="141"/>
      </w:pPr>
      <w:rPr>
        <w:rFonts w:ascii="Garamond" w:hAnsi="Garamond" w:hint="default"/>
        <w:color w:val="787878" w:themeColor="text2"/>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Garamond" w:hAnsi="Garamond" w:hint="default"/>
        <w:color w:val="787878" w:themeColor="text2"/>
      </w:rPr>
    </w:lvl>
    <w:lvl w:ilvl="8">
      <w:start w:val="1"/>
      <w:numFmt w:val="decimal"/>
      <w:lvlText w:val="(%9)"/>
      <w:lvlJc w:val="left"/>
      <w:pPr>
        <w:ind w:left="3240" w:hanging="360"/>
      </w:pPr>
      <w:rPr>
        <w:rFonts w:hint="default"/>
      </w:rPr>
    </w:lvl>
  </w:abstractNum>
  <w:abstractNum w:abstractNumId="13" w15:restartNumberingAfterBreak="0">
    <w:nsid w:val="70B80C95"/>
    <w:multiLevelType w:val="multilevel"/>
    <w:tmpl w:val="4BBA7D84"/>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78D2615F"/>
    <w:multiLevelType w:val="hybridMultilevel"/>
    <w:tmpl w:val="24206898"/>
    <w:lvl w:ilvl="0" w:tplc="C7686F24">
      <w:start w:val="1"/>
      <w:numFmt w:val="upperLetter"/>
      <w:pStyle w:val="SectionPageTitle"/>
      <w:lvlText w:val="Part %1"/>
      <w:lvlJc w:val="left"/>
      <w:pPr>
        <w:ind w:left="360" w:hanging="360"/>
      </w:pPr>
      <w:rPr>
        <w:rFonts w:ascii="Franklin Gothic Demi" w:hAnsi="Franklin Gothic Demi" w:hint="default"/>
        <w:sz w:val="7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204A2A"/>
    <w:multiLevelType w:val="hybridMultilevel"/>
    <w:tmpl w:val="7A7A4008"/>
    <w:lvl w:ilvl="0" w:tplc="C448A124">
      <w:start w:val="1"/>
      <w:numFmt w:val="decimal"/>
      <w:pStyle w:val="Recommendation"/>
      <w:lvlText w:val="Recommendation %1:"/>
      <w:lvlJc w:val="left"/>
      <w:pPr>
        <w:ind w:left="360" w:hanging="360"/>
      </w:pPr>
      <w:rPr>
        <w:rFonts w:ascii="Franklin Gothic Heavy" w:hAnsi="Franklin Gothic Heavy" w:hint="default"/>
        <w:caps/>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12"/>
  </w:num>
  <w:num w:numId="4">
    <w:abstractNumId w:val="11"/>
  </w:num>
  <w:num w:numId="5">
    <w:abstractNumId w:val="0"/>
  </w:num>
  <w:num w:numId="6">
    <w:abstractNumId w:val="8"/>
  </w:num>
  <w:num w:numId="7">
    <w:abstractNumId w:val="14"/>
  </w:num>
  <w:num w:numId="8">
    <w:abstractNumId w:val="9"/>
  </w:num>
  <w:num w:numId="9">
    <w:abstractNumId w:val="15"/>
  </w:num>
  <w:num w:numId="10">
    <w:abstractNumId w:val="7"/>
  </w:num>
  <w:num w:numId="11">
    <w:abstractNumId w:val="10"/>
  </w:num>
  <w:num w:numId="12">
    <w:abstractNumId w:val="4"/>
  </w:num>
  <w:num w:numId="13">
    <w:abstractNumId w:val="12"/>
  </w:num>
  <w:num w:numId="14">
    <w:abstractNumId w:val="9"/>
  </w:num>
  <w:num w:numId="15">
    <w:abstractNumId w:val="2"/>
  </w:num>
  <w:num w:numId="16">
    <w:abstractNumId w:val="1"/>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44033">
      <o:colormenu v:ext="edit" fillcolor="none"/>
    </o:shapedefaults>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3E2"/>
    <w:rsid w:val="00000C56"/>
    <w:rsid w:val="000014DC"/>
    <w:rsid w:val="00001E05"/>
    <w:rsid w:val="000047E9"/>
    <w:rsid w:val="000049AF"/>
    <w:rsid w:val="000052D1"/>
    <w:rsid w:val="00006248"/>
    <w:rsid w:val="00011802"/>
    <w:rsid w:val="00011EE6"/>
    <w:rsid w:val="00013809"/>
    <w:rsid w:val="000145AC"/>
    <w:rsid w:val="00014629"/>
    <w:rsid w:val="000157E1"/>
    <w:rsid w:val="00015AE4"/>
    <w:rsid w:val="00017248"/>
    <w:rsid w:val="000215BE"/>
    <w:rsid w:val="00025161"/>
    <w:rsid w:val="000252C3"/>
    <w:rsid w:val="000266D2"/>
    <w:rsid w:val="00026F39"/>
    <w:rsid w:val="0002766A"/>
    <w:rsid w:val="00027829"/>
    <w:rsid w:val="00027FE6"/>
    <w:rsid w:val="00030AAE"/>
    <w:rsid w:val="00030C48"/>
    <w:rsid w:val="00035C07"/>
    <w:rsid w:val="00035CD6"/>
    <w:rsid w:val="0003751E"/>
    <w:rsid w:val="0004256E"/>
    <w:rsid w:val="0004313A"/>
    <w:rsid w:val="000470CB"/>
    <w:rsid w:val="00053646"/>
    <w:rsid w:val="00053A93"/>
    <w:rsid w:val="00054727"/>
    <w:rsid w:val="00054CB6"/>
    <w:rsid w:val="000551D7"/>
    <w:rsid w:val="0005595A"/>
    <w:rsid w:val="00055DEF"/>
    <w:rsid w:val="000562FC"/>
    <w:rsid w:val="00056DC3"/>
    <w:rsid w:val="00056DDE"/>
    <w:rsid w:val="000575FF"/>
    <w:rsid w:val="0006110C"/>
    <w:rsid w:val="00061EE2"/>
    <w:rsid w:val="000621B4"/>
    <w:rsid w:val="000645CA"/>
    <w:rsid w:val="0006563A"/>
    <w:rsid w:val="00067EEF"/>
    <w:rsid w:val="000700C5"/>
    <w:rsid w:val="000721E9"/>
    <w:rsid w:val="000732EE"/>
    <w:rsid w:val="00074248"/>
    <w:rsid w:val="00074970"/>
    <w:rsid w:val="0008102A"/>
    <w:rsid w:val="0008149F"/>
    <w:rsid w:val="00081E74"/>
    <w:rsid w:val="00083A1C"/>
    <w:rsid w:val="00086029"/>
    <w:rsid w:val="00087444"/>
    <w:rsid w:val="00090AB5"/>
    <w:rsid w:val="00096F80"/>
    <w:rsid w:val="00097348"/>
    <w:rsid w:val="0009774D"/>
    <w:rsid w:val="00097FC2"/>
    <w:rsid w:val="000A010E"/>
    <w:rsid w:val="000A1CBB"/>
    <w:rsid w:val="000A36B0"/>
    <w:rsid w:val="000A6E82"/>
    <w:rsid w:val="000A7A59"/>
    <w:rsid w:val="000B2F9E"/>
    <w:rsid w:val="000B4012"/>
    <w:rsid w:val="000B4EDE"/>
    <w:rsid w:val="000B5DCF"/>
    <w:rsid w:val="000B6C00"/>
    <w:rsid w:val="000C09D9"/>
    <w:rsid w:val="000C0BA4"/>
    <w:rsid w:val="000C17FA"/>
    <w:rsid w:val="000C5FD0"/>
    <w:rsid w:val="000D110A"/>
    <w:rsid w:val="000D11C2"/>
    <w:rsid w:val="000D2E2E"/>
    <w:rsid w:val="000D33DC"/>
    <w:rsid w:val="000D4B9C"/>
    <w:rsid w:val="000D7CA7"/>
    <w:rsid w:val="000E4123"/>
    <w:rsid w:val="000E5A3E"/>
    <w:rsid w:val="000E5A95"/>
    <w:rsid w:val="000F01C5"/>
    <w:rsid w:val="000F04BF"/>
    <w:rsid w:val="000F0BAB"/>
    <w:rsid w:val="000F28B8"/>
    <w:rsid w:val="000F2B0A"/>
    <w:rsid w:val="000F3062"/>
    <w:rsid w:val="000F3766"/>
    <w:rsid w:val="001028ED"/>
    <w:rsid w:val="001029D5"/>
    <w:rsid w:val="001040EA"/>
    <w:rsid w:val="00105556"/>
    <w:rsid w:val="00111F0C"/>
    <w:rsid w:val="00114936"/>
    <w:rsid w:val="0011693C"/>
    <w:rsid w:val="00117FAA"/>
    <w:rsid w:val="00121EBA"/>
    <w:rsid w:val="001269C6"/>
    <w:rsid w:val="00126B37"/>
    <w:rsid w:val="00126FB0"/>
    <w:rsid w:val="00127802"/>
    <w:rsid w:val="00131108"/>
    <w:rsid w:val="00131F31"/>
    <w:rsid w:val="0013389A"/>
    <w:rsid w:val="00134A79"/>
    <w:rsid w:val="001360D0"/>
    <w:rsid w:val="0013657F"/>
    <w:rsid w:val="00136B1A"/>
    <w:rsid w:val="00136C33"/>
    <w:rsid w:val="00136F0A"/>
    <w:rsid w:val="00137E51"/>
    <w:rsid w:val="00137FCF"/>
    <w:rsid w:val="00141378"/>
    <w:rsid w:val="001422E9"/>
    <w:rsid w:val="001428E8"/>
    <w:rsid w:val="0014337C"/>
    <w:rsid w:val="001437A7"/>
    <w:rsid w:val="0014516E"/>
    <w:rsid w:val="00145E2D"/>
    <w:rsid w:val="00151D22"/>
    <w:rsid w:val="00153FEA"/>
    <w:rsid w:val="00156CF2"/>
    <w:rsid w:val="001573E2"/>
    <w:rsid w:val="001602B3"/>
    <w:rsid w:val="00160CA6"/>
    <w:rsid w:val="001618BD"/>
    <w:rsid w:val="00162EE9"/>
    <w:rsid w:val="00164A07"/>
    <w:rsid w:val="001665FF"/>
    <w:rsid w:val="001706FB"/>
    <w:rsid w:val="001763D4"/>
    <w:rsid w:val="001765AF"/>
    <w:rsid w:val="001776B2"/>
    <w:rsid w:val="001807E1"/>
    <w:rsid w:val="00180813"/>
    <w:rsid w:val="00181D4C"/>
    <w:rsid w:val="001832EF"/>
    <w:rsid w:val="001833D8"/>
    <w:rsid w:val="00185790"/>
    <w:rsid w:val="00186EBF"/>
    <w:rsid w:val="00187326"/>
    <w:rsid w:val="00190698"/>
    <w:rsid w:val="00190CC4"/>
    <w:rsid w:val="0019172F"/>
    <w:rsid w:val="00192775"/>
    <w:rsid w:val="00192E5C"/>
    <w:rsid w:val="00193E9C"/>
    <w:rsid w:val="00197882"/>
    <w:rsid w:val="001A1575"/>
    <w:rsid w:val="001A2850"/>
    <w:rsid w:val="001A29A3"/>
    <w:rsid w:val="001B16E8"/>
    <w:rsid w:val="001B37BA"/>
    <w:rsid w:val="001B49ED"/>
    <w:rsid w:val="001B4A16"/>
    <w:rsid w:val="001B6A6F"/>
    <w:rsid w:val="001C1779"/>
    <w:rsid w:val="001C2056"/>
    <w:rsid w:val="001C222B"/>
    <w:rsid w:val="001C36C7"/>
    <w:rsid w:val="001C42E6"/>
    <w:rsid w:val="001C4582"/>
    <w:rsid w:val="001C4EA7"/>
    <w:rsid w:val="001C53B7"/>
    <w:rsid w:val="001C53CE"/>
    <w:rsid w:val="001C5EC3"/>
    <w:rsid w:val="001C6224"/>
    <w:rsid w:val="001C6726"/>
    <w:rsid w:val="001D1BA0"/>
    <w:rsid w:val="001D5D0A"/>
    <w:rsid w:val="001D6E7C"/>
    <w:rsid w:val="001D6F90"/>
    <w:rsid w:val="001D764F"/>
    <w:rsid w:val="001E38C3"/>
    <w:rsid w:val="001E3978"/>
    <w:rsid w:val="001E4865"/>
    <w:rsid w:val="001E59D1"/>
    <w:rsid w:val="001E5B98"/>
    <w:rsid w:val="001E5F2C"/>
    <w:rsid w:val="001E602D"/>
    <w:rsid w:val="001E66CE"/>
    <w:rsid w:val="001E6728"/>
    <w:rsid w:val="001E7A6B"/>
    <w:rsid w:val="001F2302"/>
    <w:rsid w:val="001F53E1"/>
    <w:rsid w:val="001F59F4"/>
    <w:rsid w:val="001F6268"/>
    <w:rsid w:val="001F785D"/>
    <w:rsid w:val="001F7F45"/>
    <w:rsid w:val="0020030E"/>
    <w:rsid w:val="00200A8E"/>
    <w:rsid w:val="002011CA"/>
    <w:rsid w:val="00201F9E"/>
    <w:rsid w:val="00202FF9"/>
    <w:rsid w:val="00204559"/>
    <w:rsid w:val="002057F1"/>
    <w:rsid w:val="00207435"/>
    <w:rsid w:val="00211DF3"/>
    <w:rsid w:val="00212EBF"/>
    <w:rsid w:val="002174C8"/>
    <w:rsid w:val="0021760E"/>
    <w:rsid w:val="00221DC2"/>
    <w:rsid w:val="0022246F"/>
    <w:rsid w:val="00223B71"/>
    <w:rsid w:val="002244A6"/>
    <w:rsid w:val="0022663E"/>
    <w:rsid w:val="00232670"/>
    <w:rsid w:val="00232710"/>
    <w:rsid w:val="0023691B"/>
    <w:rsid w:val="0024192E"/>
    <w:rsid w:val="00244AD1"/>
    <w:rsid w:val="00244CAE"/>
    <w:rsid w:val="00245D0A"/>
    <w:rsid w:val="00245FE4"/>
    <w:rsid w:val="002465C0"/>
    <w:rsid w:val="002534F9"/>
    <w:rsid w:val="00253F89"/>
    <w:rsid w:val="002547A7"/>
    <w:rsid w:val="00255E53"/>
    <w:rsid w:val="00257221"/>
    <w:rsid w:val="002573D5"/>
    <w:rsid w:val="00260717"/>
    <w:rsid w:val="00262BB8"/>
    <w:rsid w:val="00263F97"/>
    <w:rsid w:val="002675FF"/>
    <w:rsid w:val="00270B8B"/>
    <w:rsid w:val="00271047"/>
    <w:rsid w:val="002724C7"/>
    <w:rsid w:val="00274613"/>
    <w:rsid w:val="002753BD"/>
    <w:rsid w:val="002771DB"/>
    <w:rsid w:val="00277A57"/>
    <w:rsid w:val="00281663"/>
    <w:rsid w:val="00282024"/>
    <w:rsid w:val="0028395F"/>
    <w:rsid w:val="002851A3"/>
    <w:rsid w:val="00286428"/>
    <w:rsid w:val="002865A4"/>
    <w:rsid w:val="00294D0A"/>
    <w:rsid w:val="00296ACE"/>
    <w:rsid w:val="00297F06"/>
    <w:rsid w:val="002A00AA"/>
    <w:rsid w:val="002A1591"/>
    <w:rsid w:val="002A223A"/>
    <w:rsid w:val="002A3698"/>
    <w:rsid w:val="002A38D4"/>
    <w:rsid w:val="002A41E1"/>
    <w:rsid w:val="002A5417"/>
    <w:rsid w:val="002A5BC5"/>
    <w:rsid w:val="002B26E7"/>
    <w:rsid w:val="002B61B9"/>
    <w:rsid w:val="002B6574"/>
    <w:rsid w:val="002B67D0"/>
    <w:rsid w:val="002B74DE"/>
    <w:rsid w:val="002C109C"/>
    <w:rsid w:val="002C4FAF"/>
    <w:rsid w:val="002C54D3"/>
    <w:rsid w:val="002D2D34"/>
    <w:rsid w:val="002D5F1D"/>
    <w:rsid w:val="002E03EA"/>
    <w:rsid w:val="002E0E0A"/>
    <w:rsid w:val="002E1BCB"/>
    <w:rsid w:val="002E2282"/>
    <w:rsid w:val="002E2DEE"/>
    <w:rsid w:val="002E3E6D"/>
    <w:rsid w:val="002E48F5"/>
    <w:rsid w:val="002E4B4B"/>
    <w:rsid w:val="002E5043"/>
    <w:rsid w:val="002E50F9"/>
    <w:rsid w:val="002F0084"/>
    <w:rsid w:val="002F285E"/>
    <w:rsid w:val="002F2B0C"/>
    <w:rsid w:val="002F329E"/>
    <w:rsid w:val="002F3532"/>
    <w:rsid w:val="002F4346"/>
    <w:rsid w:val="002F7541"/>
    <w:rsid w:val="002F7A40"/>
    <w:rsid w:val="00300940"/>
    <w:rsid w:val="00303997"/>
    <w:rsid w:val="00303B5C"/>
    <w:rsid w:val="00303FC2"/>
    <w:rsid w:val="00304FFD"/>
    <w:rsid w:val="00306668"/>
    <w:rsid w:val="00307FF0"/>
    <w:rsid w:val="003108CE"/>
    <w:rsid w:val="0031171D"/>
    <w:rsid w:val="00311C43"/>
    <w:rsid w:val="003131AB"/>
    <w:rsid w:val="0032087B"/>
    <w:rsid w:val="0032131B"/>
    <w:rsid w:val="003217BE"/>
    <w:rsid w:val="003223AF"/>
    <w:rsid w:val="00322F48"/>
    <w:rsid w:val="003242DE"/>
    <w:rsid w:val="003305CB"/>
    <w:rsid w:val="0033487B"/>
    <w:rsid w:val="003374B5"/>
    <w:rsid w:val="0034290B"/>
    <w:rsid w:val="00342C59"/>
    <w:rsid w:val="003474FB"/>
    <w:rsid w:val="00347657"/>
    <w:rsid w:val="00350DC1"/>
    <w:rsid w:val="0035121E"/>
    <w:rsid w:val="00351FB5"/>
    <w:rsid w:val="00353A5B"/>
    <w:rsid w:val="0035415C"/>
    <w:rsid w:val="00355E48"/>
    <w:rsid w:val="00356FA9"/>
    <w:rsid w:val="00357885"/>
    <w:rsid w:val="00361751"/>
    <w:rsid w:val="00361775"/>
    <w:rsid w:val="00361F16"/>
    <w:rsid w:val="00362464"/>
    <w:rsid w:val="003625D2"/>
    <w:rsid w:val="003637A5"/>
    <w:rsid w:val="00370054"/>
    <w:rsid w:val="00370CEB"/>
    <w:rsid w:val="00373202"/>
    <w:rsid w:val="00374EA0"/>
    <w:rsid w:val="0037517B"/>
    <w:rsid w:val="00376B23"/>
    <w:rsid w:val="00377B4B"/>
    <w:rsid w:val="00377F9F"/>
    <w:rsid w:val="00380575"/>
    <w:rsid w:val="00382FEA"/>
    <w:rsid w:val="00384934"/>
    <w:rsid w:val="0038597A"/>
    <w:rsid w:val="00385E29"/>
    <w:rsid w:val="003934BF"/>
    <w:rsid w:val="00394E99"/>
    <w:rsid w:val="00395D3F"/>
    <w:rsid w:val="003A1032"/>
    <w:rsid w:val="003A2696"/>
    <w:rsid w:val="003A297F"/>
    <w:rsid w:val="003A6B81"/>
    <w:rsid w:val="003B3643"/>
    <w:rsid w:val="003B511F"/>
    <w:rsid w:val="003B521D"/>
    <w:rsid w:val="003B55A9"/>
    <w:rsid w:val="003B7B6D"/>
    <w:rsid w:val="003C0263"/>
    <w:rsid w:val="003C321E"/>
    <w:rsid w:val="003C71F6"/>
    <w:rsid w:val="003C790A"/>
    <w:rsid w:val="003C7AD3"/>
    <w:rsid w:val="003D2DBA"/>
    <w:rsid w:val="003D3116"/>
    <w:rsid w:val="003D3B1D"/>
    <w:rsid w:val="003D45A2"/>
    <w:rsid w:val="003D5CC3"/>
    <w:rsid w:val="003D5DBE"/>
    <w:rsid w:val="003E09C1"/>
    <w:rsid w:val="003E174A"/>
    <w:rsid w:val="003E36A1"/>
    <w:rsid w:val="003E4530"/>
    <w:rsid w:val="003E5BBA"/>
    <w:rsid w:val="003E5C47"/>
    <w:rsid w:val="003E612D"/>
    <w:rsid w:val="003F22D9"/>
    <w:rsid w:val="003F3978"/>
    <w:rsid w:val="003F426A"/>
    <w:rsid w:val="003F5C10"/>
    <w:rsid w:val="003F5E08"/>
    <w:rsid w:val="003F6ABA"/>
    <w:rsid w:val="0040349E"/>
    <w:rsid w:val="00403669"/>
    <w:rsid w:val="00404841"/>
    <w:rsid w:val="004052F6"/>
    <w:rsid w:val="004054D0"/>
    <w:rsid w:val="00407B72"/>
    <w:rsid w:val="00412059"/>
    <w:rsid w:val="0041222C"/>
    <w:rsid w:val="00412390"/>
    <w:rsid w:val="00413712"/>
    <w:rsid w:val="00413A15"/>
    <w:rsid w:val="00414201"/>
    <w:rsid w:val="00416336"/>
    <w:rsid w:val="00421E17"/>
    <w:rsid w:val="004223B1"/>
    <w:rsid w:val="00422CF0"/>
    <w:rsid w:val="0042328E"/>
    <w:rsid w:val="00424779"/>
    <w:rsid w:val="00425CE9"/>
    <w:rsid w:val="00431887"/>
    <w:rsid w:val="004319EF"/>
    <w:rsid w:val="00432848"/>
    <w:rsid w:val="004332CB"/>
    <w:rsid w:val="0043487C"/>
    <w:rsid w:val="00434F1C"/>
    <w:rsid w:val="00435416"/>
    <w:rsid w:val="0043633E"/>
    <w:rsid w:val="00436590"/>
    <w:rsid w:val="004368EB"/>
    <w:rsid w:val="004375AE"/>
    <w:rsid w:val="00441E79"/>
    <w:rsid w:val="00442054"/>
    <w:rsid w:val="004423A0"/>
    <w:rsid w:val="00443359"/>
    <w:rsid w:val="00444467"/>
    <w:rsid w:val="00444936"/>
    <w:rsid w:val="004459AB"/>
    <w:rsid w:val="00445E9F"/>
    <w:rsid w:val="004462C6"/>
    <w:rsid w:val="00447824"/>
    <w:rsid w:val="00447955"/>
    <w:rsid w:val="00451739"/>
    <w:rsid w:val="00453658"/>
    <w:rsid w:val="0045437F"/>
    <w:rsid w:val="004546B9"/>
    <w:rsid w:val="00455C27"/>
    <w:rsid w:val="0045664F"/>
    <w:rsid w:val="00457C0C"/>
    <w:rsid w:val="00461052"/>
    <w:rsid w:val="00464F96"/>
    <w:rsid w:val="00471F0D"/>
    <w:rsid w:val="004732F2"/>
    <w:rsid w:val="00480200"/>
    <w:rsid w:val="00480C40"/>
    <w:rsid w:val="00482BDC"/>
    <w:rsid w:val="004832BE"/>
    <w:rsid w:val="00483A58"/>
    <w:rsid w:val="00483BEA"/>
    <w:rsid w:val="00483FB7"/>
    <w:rsid w:val="0048453F"/>
    <w:rsid w:val="00484E4E"/>
    <w:rsid w:val="0048517E"/>
    <w:rsid w:val="00485783"/>
    <w:rsid w:val="00485FF9"/>
    <w:rsid w:val="0048625E"/>
    <w:rsid w:val="004862A6"/>
    <w:rsid w:val="00486A39"/>
    <w:rsid w:val="004911F7"/>
    <w:rsid w:val="004914F0"/>
    <w:rsid w:val="004916C5"/>
    <w:rsid w:val="00492D9A"/>
    <w:rsid w:val="0049637E"/>
    <w:rsid w:val="00496596"/>
    <w:rsid w:val="0049670F"/>
    <w:rsid w:val="004968C4"/>
    <w:rsid w:val="004976E9"/>
    <w:rsid w:val="004979A0"/>
    <w:rsid w:val="004A0DDE"/>
    <w:rsid w:val="004A34A5"/>
    <w:rsid w:val="004A4096"/>
    <w:rsid w:val="004A428C"/>
    <w:rsid w:val="004A4FC1"/>
    <w:rsid w:val="004A5105"/>
    <w:rsid w:val="004A5208"/>
    <w:rsid w:val="004A6525"/>
    <w:rsid w:val="004A7D10"/>
    <w:rsid w:val="004B36FE"/>
    <w:rsid w:val="004B68C0"/>
    <w:rsid w:val="004B7D65"/>
    <w:rsid w:val="004C02FE"/>
    <w:rsid w:val="004C0C6F"/>
    <w:rsid w:val="004C4832"/>
    <w:rsid w:val="004C4AF0"/>
    <w:rsid w:val="004C4FE3"/>
    <w:rsid w:val="004D31C7"/>
    <w:rsid w:val="004D34FC"/>
    <w:rsid w:val="004D5D0A"/>
    <w:rsid w:val="004D664D"/>
    <w:rsid w:val="004D76F4"/>
    <w:rsid w:val="004D7F17"/>
    <w:rsid w:val="004E11A9"/>
    <w:rsid w:val="004E11BF"/>
    <w:rsid w:val="004E2B6A"/>
    <w:rsid w:val="004E3AAE"/>
    <w:rsid w:val="004E5BF9"/>
    <w:rsid w:val="004E7F37"/>
    <w:rsid w:val="004F0C53"/>
    <w:rsid w:val="004F1E2C"/>
    <w:rsid w:val="004F208F"/>
    <w:rsid w:val="004F233D"/>
    <w:rsid w:val="004F36F1"/>
    <w:rsid w:val="004F3E37"/>
    <w:rsid w:val="004F4D64"/>
    <w:rsid w:val="004F50F5"/>
    <w:rsid w:val="004F72F4"/>
    <w:rsid w:val="004F74C7"/>
    <w:rsid w:val="00502D96"/>
    <w:rsid w:val="00503CBD"/>
    <w:rsid w:val="0050672A"/>
    <w:rsid w:val="005103C6"/>
    <w:rsid w:val="0051345A"/>
    <w:rsid w:val="0051568E"/>
    <w:rsid w:val="0051623A"/>
    <w:rsid w:val="00516D5E"/>
    <w:rsid w:val="00520329"/>
    <w:rsid w:val="00523F73"/>
    <w:rsid w:val="00524E0D"/>
    <w:rsid w:val="00524EA0"/>
    <w:rsid w:val="00526053"/>
    <w:rsid w:val="0053116C"/>
    <w:rsid w:val="00532B44"/>
    <w:rsid w:val="00534C6F"/>
    <w:rsid w:val="00537856"/>
    <w:rsid w:val="0055569A"/>
    <w:rsid w:val="005576AD"/>
    <w:rsid w:val="00557A78"/>
    <w:rsid w:val="005602AB"/>
    <w:rsid w:val="00560885"/>
    <w:rsid w:val="00560F02"/>
    <w:rsid w:val="005618E7"/>
    <w:rsid w:val="005665AA"/>
    <w:rsid w:val="00566BE9"/>
    <w:rsid w:val="00572E9A"/>
    <w:rsid w:val="005738F0"/>
    <w:rsid w:val="00573B70"/>
    <w:rsid w:val="00575B66"/>
    <w:rsid w:val="00580770"/>
    <w:rsid w:val="0058083C"/>
    <w:rsid w:val="0058145C"/>
    <w:rsid w:val="00582041"/>
    <w:rsid w:val="00582552"/>
    <w:rsid w:val="0058331E"/>
    <w:rsid w:val="00584B24"/>
    <w:rsid w:val="00585197"/>
    <w:rsid w:val="00585969"/>
    <w:rsid w:val="00586702"/>
    <w:rsid w:val="00587902"/>
    <w:rsid w:val="0059017D"/>
    <w:rsid w:val="0059071C"/>
    <w:rsid w:val="00591828"/>
    <w:rsid w:val="005932A4"/>
    <w:rsid w:val="0059341F"/>
    <w:rsid w:val="0059510A"/>
    <w:rsid w:val="00596DC3"/>
    <w:rsid w:val="005A1488"/>
    <w:rsid w:val="005A4A58"/>
    <w:rsid w:val="005A4B1F"/>
    <w:rsid w:val="005A79CB"/>
    <w:rsid w:val="005A7E87"/>
    <w:rsid w:val="005B0412"/>
    <w:rsid w:val="005B1003"/>
    <w:rsid w:val="005B1DE7"/>
    <w:rsid w:val="005B25AF"/>
    <w:rsid w:val="005B60BA"/>
    <w:rsid w:val="005C2B84"/>
    <w:rsid w:val="005C3E61"/>
    <w:rsid w:val="005C4810"/>
    <w:rsid w:val="005C519C"/>
    <w:rsid w:val="005C7B16"/>
    <w:rsid w:val="005D1C31"/>
    <w:rsid w:val="005D4C5D"/>
    <w:rsid w:val="005D60CE"/>
    <w:rsid w:val="005D61F7"/>
    <w:rsid w:val="005D67EB"/>
    <w:rsid w:val="005D75A2"/>
    <w:rsid w:val="005E3607"/>
    <w:rsid w:val="005E4D7E"/>
    <w:rsid w:val="005E4DBD"/>
    <w:rsid w:val="005E5D36"/>
    <w:rsid w:val="005E7886"/>
    <w:rsid w:val="005F077C"/>
    <w:rsid w:val="005F0A8D"/>
    <w:rsid w:val="005F4DAD"/>
    <w:rsid w:val="005F593D"/>
    <w:rsid w:val="005F623F"/>
    <w:rsid w:val="005F7628"/>
    <w:rsid w:val="005F7A93"/>
    <w:rsid w:val="00603788"/>
    <w:rsid w:val="00604596"/>
    <w:rsid w:val="00605B2B"/>
    <w:rsid w:val="006108E5"/>
    <w:rsid w:val="006118BB"/>
    <w:rsid w:val="00612EEE"/>
    <w:rsid w:val="006137FF"/>
    <w:rsid w:val="00613BAD"/>
    <w:rsid w:val="00616325"/>
    <w:rsid w:val="00616EBA"/>
    <w:rsid w:val="0062109F"/>
    <w:rsid w:val="00622F4D"/>
    <w:rsid w:val="00625444"/>
    <w:rsid w:val="006267FD"/>
    <w:rsid w:val="006276EA"/>
    <w:rsid w:val="00632C08"/>
    <w:rsid w:val="00636863"/>
    <w:rsid w:val="006403A1"/>
    <w:rsid w:val="00641C8F"/>
    <w:rsid w:val="00641DCA"/>
    <w:rsid w:val="00644318"/>
    <w:rsid w:val="00647775"/>
    <w:rsid w:val="00650796"/>
    <w:rsid w:val="00652A81"/>
    <w:rsid w:val="00653F94"/>
    <w:rsid w:val="00655440"/>
    <w:rsid w:val="00656B0D"/>
    <w:rsid w:val="00657EED"/>
    <w:rsid w:val="00657EF3"/>
    <w:rsid w:val="00660286"/>
    <w:rsid w:val="00665D36"/>
    <w:rsid w:val="00667940"/>
    <w:rsid w:val="0067074A"/>
    <w:rsid w:val="00672994"/>
    <w:rsid w:val="00676D39"/>
    <w:rsid w:val="00677EA8"/>
    <w:rsid w:val="0068236C"/>
    <w:rsid w:val="00682447"/>
    <w:rsid w:val="0068266D"/>
    <w:rsid w:val="00682C18"/>
    <w:rsid w:val="00684DDF"/>
    <w:rsid w:val="00691A85"/>
    <w:rsid w:val="00692E0C"/>
    <w:rsid w:val="006944B1"/>
    <w:rsid w:val="00695BB9"/>
    <w:rsid w:val="0069621A"/>
    <w:rsid w:val="00696929"/>
    <w:rsid w:val="006973B9"/>
    <w:rsid w:val="00697D4E"/>
    <w:rsid w:val="006A02A7"/>
    <w:rsid w:val="006A0E64"/>
    <w:rsid w:val="006A0F64"/>
    <w:rsid w:val="006A101E"/>
    <w:rsid w:val="006A408C"/>
    <w:rsid w:val="006A47A9"/>
    <w:rsid w:val="006A755E"/>
    <w:rsid w:val="006B1798"/>
    <w:rsid w:val="006B186B"/>
    <w:rsid w:val="006B1CF7"/>
    <w:rsid w:val="006B1DD7"/>
    <w:rsid w:val="006B3106"/>
    <w:rsid w:val="006B36CB"/>
    <w:rsid w:val="006B41E1"/>
    <w:rsid w:val="006B71D6"/>
    <w:rsid w:val="006C0144"/>
    <w:rsid w:val="006C07F6"/>
    <w:rsid w:val="006C1202"/>
    <w:rsid w:val="006C4396"/>
    <w:rsid w:val="006C4A41"/>
    <w:rsid w:val="006C4D4A"/>
    <w:rsid w:val="006D0F77"/>
    <w:rsid w:val="006D217C"/>
    <w:rsid w:val="006D328E"/>
    <w:rsid w:val="006D3CEE"/>
    <w:rsid w:val="006D4563"/>
    <w:rsid w:val="006D4814"/>
    <w:rsid w:val="006D4E88"/>
    <w:rsid w:val="006D62C5"/>
    <w:rsid w:val="006E41EE"/>
    <w:rsid w:val="006E4D78"/>
    <w:rsid w:val="006E4D7A"/>
    <w:rsid w:val="006F0A9E"/>
    <w:rsid w:val="006F14C8"/>
    <w:rsid w:val="006F31FE"/>
    <w:rsid w:val="006F33E8"/>
    <w:rsid w:val="00700AF4"/>
    <w:rsid w:val="00710DF8"/>
    <w:rsid w:val="00711484"/>
    <w:rsid w:val="007118FF"/>
    <w:rsid w:val="0071224F"/>
    <w:rsid w:val="0071419C"/>
    <w:rsid w:val="00714CAE"/>
    <w:rsid w:val="00716510"/>
    <w:rsid w:val="007228DF"/>
    <w:rsid w:val="0072586B"/>
    <w:rsid w:val="0072632A"/>
    <w:rsid w:val="0072738E"/>
    <w:rsid w:val="00727D63"/>
    <w:rsid w:val="007311D4"/>
    <w:rsid w:val="007342A8"/>
    <w:rsid w:val="00735519"/>
    <w:rsid w:val="0073565D"/>
    <w:rsid w:val="00735952"/>
    <w:rsid w:val="00740857"/>
    <w:rsid w:val="00740F32"/>
    <w:rsid w:val="0074147B"/>
    <w:rsid w:val="00741BF7"/>
    <w:rsid w:val="00742880"/>
    <w:rsid w:val="00742BE7"/>
    <w:rsid w:val="00745196"/>
    <w:rsid w:val="007478F9"/>
    <w:rsid w:val="00751522"/>
    <w:rsid w:val="00752C6B"/>
    <w:rsid w:val="00755F6F"/>
    <w:rsid w:val="00756740"/>
    <w:rsid w:val="007640A4"/>
    <w:rsid w:val="00766BBD"/>
    <w:rsid w:val="007700DD"/>
    <w:rsid w:val="007714D5"/>
    <w:rsid w:val="007744C4"/>
    <w:rsid w:val="00775004"/>
    <w:rsid w:val="00775822"/>
    <w:rsid w:val="007775ED"/>
    <w:rsid w:val="00780DA4"/>
    <w:rsid w:val="007812AA"/>
    <w:rsid w:val="007844E3"/>
    <w:rsid w:val="00785C91"/>
    <w:rsid w:val="00790A71"/>
    <w:rsid w:val="007927D9"/>
    <w:rsid w:val="00792D1E"/>
    <w:rsid w:val="0079467C"/>
    <w:rsid w:val="00794C42"/>
    <w:rsid w:val="00795E16"/>
    <w:rsid w:val="007A073F"/>
    <w:rsid w:val="007A3F37"/>
    <w:rsid w:val="007A43F1"/>
    <w:rsid w:val="007A4683"/>
    <w:rsid w:val="007A5180"/>
    <w:rsid w:val="007A5A27"/>
    <w:rsid w:val="007A6B8B"/>
    <w:rsid w:val="007A7102"/>
    <w:rsid w:val="007B029B"/>
    <w:rsid w:val="007B1FEC"/>
    <w:rsid w:val="007B366C"/>
    <w:rsid w:val="007B4BB8"/>
    <w:rsid w:val="007B74FA"/>
    <w:rsid w:val="007B7702"/>
    <w:rsid w:val="007C0A39"/>
    <w:rsid w:val="007C0C10"/>
    <w:rsid w:val="007C1103"/>
    <w:rsid w:val="007C16C0"/>
    <w:rsid w:val="007C28E2"/>
    <w:rsid w:val="007C371C"/>
    <w:rsid w:val="007C4505"/>
    <w:rsid w:val="007C6FA7"/>
    <w:rsid w:val="007D1A1E"/>
    <w:rsid w:val="007D2EA4"/>
    <w:rsid w:val="007D370F"/>
    <w:rsid w:val="007D4780"/>
    <w:rsid w:val="007D4A0E"/>
    <w:rsid w:val="007D4C7B"/>
    <w:rsid w:val="007D4E49"/>
    <w:rsid w:val="007D64C9"/>
    <w:rsid w:val="007D667C"/>
    <w:rsid w:val="007D6AED"/>
    <w:rsid w:val="007D6D4A"/>
    <w:rsid w:val="007D7261"/>
    <w:rsid w:val="007E1077"/>
    <w:rsid w:val="007E4433"/>
    <w:rsid w:val="007E7672"/>
    <w:rsid w:val="007E7DA2"/>
    <w:rsid w:val="007F036B"/>
    <w:rsid w:val="007F0BC2"/>
    <w:rsid w:val="007F2418"/>
    <w:rsid w:val="007F3E14"/>
    <w:rsid w:val="007F4044"/>
    <w:rsid w:val="007F4ED2"/>
    <w:rsid w:val="007F5B12"/>
    <w:rsid w:val="007F78DF"/>
    <w:rsid w:val="007F7F18"/>
    <w:rsid w:val="00801A93"/>
    <w:rsid w:val="008021E0"/>
    <w:rsid w:val="00802453"/>
    <w:rsid w:val="00803855"/>
    <w:rsid w:val="008040B1"/>
    <w:rsid w:val="008050B0"/>
    <w:rsid w:val="008054BA"/>
    <w:rsid w:val="00805EFB"/>
    <w:rsid w:val="00806288"/>
    <w:rsid w:val="00813F1D"/>
    <w:rsid w:val="008153E7"/>
    <w:rsid w:val="0081692B"/>
    <w:rsid w:val="0081692C"/>
    <w:rsid w:val="0081796F"/>
    <w:rsid w:val="0082020E"/>
    <w:rsid w:val="0082029C"/>
    <w:rsid w:val="00820F20"/>
    <w:rsid w:val="00821CFB"/>
    <w:rsid w:val="008248BC"/>
    <w:rsid w:val="00825754"/>
    <w:rsid w:val="00825A7A"/>
    <w:rsid w:val="0082610F"/>
    <w:rsid w:val="008274DD"/>
    <w:rsid w:val="008330F3"/>
    <w:rsid w:val="00834187"/>
    <w:rsid w:val="00835552"/>
    <w:rsid w:val="008363CC"/>
    <w:rsid w:val="00837EEC"/>
    <w:rsid w:val="00840813"/>
    <w:rsid w:val="00844C2D"/>
    <w:rsid w:val="00845229"/>
    <w:rsid w:val="00845D00"/>
    <w:rsid w:val="008477F1"/>
    <w:rsid w:val="00850A9B"/>
    <w:rsid w:val="00850EA3"/>
    <w:rsid w:val="00851416"/>
    <w:rsid w:val="00852D73"/>
    <w:rsid w:val="00856156"/>
    <w:rsid w:val="008577AF"/>
    <w:rsid w:val="00861390"/>
    <w:rsid w:val="008645C7"/>
    <w:rsid w:val="00864F14"/>
    <w:rsid w:val="008653DC"/>
    <w:rsid w:val="00866025"/>
    <w:rsid w:val="0086626B"/>
    <w:rsid w:val="0087160B"/>
    <w:rsid w:val="00871806"/>
    <w:rsid w:val="00871E3D"/>
    <w:rsid w:val="0087220F"/>
    <w:rsid w:val="00872557"/>
    <w:rsid w:val="00880D4D"/>
    <w:rsid w:val="00880FDF"/>
    <w:rsid w:val="00881443"/>
    <w:rsid w:val="0088206F"/>
    <w:rsid w:val="008820A2"/>
    <w:rsid w:val="0088254D"/>
    <w:rsid w:val="0088382A"/>
    <w:rsid w:val="00883D35"/>
    <w:rsid w:val="00884DCB"/>
    <w:rsid w:val="00884FE6"/>
    <w:rsid w:val="0088535F"/>
    <w:rsid w:val="00885776"/>
    <w:rsid w:val="00885994"/>
    <w:rsid w:val="0089011F"/>
    <w:rsid w:val="008918D2"/>
    <w:rsid w:val="0089287D"/>
    <w:rsid w:val="00895B4B"/>
    <w:rsid w:val="00897270"/>
    <w:rsid w:val="008978B8"/>
    <w:rsid w:val="008A03FC"/>
    <w:rsid w:val="008A09C9"/>
    <w:rsid w:val="008A30B7"/>
    <w:rsid w:val="008A5069"/>
    <w:rsid w:val="008A5D2D"/>
    <w:rsid w:val="008B1243"/>
    <w:rsid w:val="008B14B3"/>
    <w:rsid w:val="008B2020"/>
    <w:rsid w:val="008B2F5D"/>
    <w:rsid w:val="008B3BD5"/>
    <w:rsid w:val="008B6650"/>
    <w:rsid w:val="008C27E4"/>
    <w:rsid w:val="008C3286"/>
    <w:rsid w:val="008C4765"/>
    <w:rsid w:val="008C4B4C"/>
    <w:rsid w:val="008C7F34"/>
    <w:rsid w:val="008D0D2B"/>
    <w:rsid w:val="008D1339"/>
    <w:rsid w:val="008D2A5E"/>
    <w:rsid w:val="008D4089"/>
    <w:rsid w:val="008D51A9"/>
    <w:rsid w:val="008D592E"/>
    <w:rsid w:val="008D68C6"/>
    <w:rsid w:val="008D6995"/>
    <w:rsid w:val="008D73A2"/>
    <w:rsid w:val="008E1FEA"/>
    <w:rsid w:val="008E347D"/>
    <w:rsid w:val="008E693A"/>
    <w:rsid w:val="008F4D00"/>
    <w:rsid w:val="008F55F6"/>
    <w:rsid w:val="008F5641"/>
    <w:rsid w:val="008F6AA3"/>
    <w:rsid w:val="00901197"/>
    <w:rsid w:val="00904CB0"/>
    <w:rsid w:val="009056DD"/>
    <w:rsid w:val="0090601C"/>
    <w:rsid w:val="00907721"/>
    <w:rsid w:val="00910920"/>
    <w:rsid w:val="00910E65"/>
    <w:rsid w:val="0091563E"/>
    <w:rsid w:val="00916141"/>
    <w:rsid w:val="00916E8B"/>
    <w:rsid w:val="009225D3"/>
    <w:rsid w:val="00922E30"/>
    <w:rsid w:val="00926C38"/>
    <w:rsid w:val="00930A11"/>
    <w:rsid w:val="00930E56"/>
    <w:rsid w:val="00932CCF"/>
    <w:rsid w:val="009345F1"/>
    <w:rsid w:val="00935052"/>
    <w:rsid w:val="009353C3"/>
    <w:rsid w:val="0093543C"/>
    <w:rsid w:val="00942161"/>
    <w:rsid w:val="00944C53"/>
    <w:rsid w:val="00947608"/>
    <w:rsid w:val="009502BA"/>
    <w:rsid w:val="009502C1"/>
    <w:rsid w:val="00950490"/>
    <w:rsid w:val="00951722"/>
    <w:rsid w:val="00956107"/>
    <w:rsid w:val="009565A5"/>
    <w:rsid w:val="00957060"/>
    <w:rsid w:val="0096004C"/>
    <w:rsid w:val="00961072"/>
    <w:rsid w:val="0096108D"/>
    <w:rsid w:val="00967D59"/>
    <w:rsid w:val="00973D7A"/>
    <w:rsid w:val="009750BD"/>
    <w:rsid w:val="00976455"/>
    <w:rsid w:val="009778DD"/>
    <w:rsid w:val="0099006B"/>
    <w:rsid w:val="00995147"/>
    <w:rsid w:val="00996818"/>
    <w:rsid w:val="00996E9E"/>
    <w:rsid w:val="009A06D9"/>
    <w:rsid w:val="009A0CAB"/>
    <w:rsid w:val="009A0FEB"/>
    <w:rsid w:val="009A1034"/>
    <w:rsid w:val="009A31B4"/>
    <w:rsid w:val="009A5751"/>
    <w:rsid w:val="009A65BB"/>
    <w:rsid w:val="009A6918"/>
    <w:rsid w:val="009A7546"/>
    <w:rsid w:val="009B16F2"/>
    <w:rsid w:val="009C04CB"/>
    <w:rsid w:val="009C12F9"/>
    <w:rsid w:val="009C19D6"/>
    <w:rsid w:val="009C1EE6"/>
    <w:rsid w:val="009C2906"/>
    <w:rsid w:val="009C3F56"/>
    <w:rsid w:val="009C4536"/>
    <w:rsid w:val="009C5DB4"/>
    <w:rsid w:val="009C7339"/>
    <w:rsid w:val="009C776D"/>
    <w:rsid w:val="009D7B7E"/>
    <w:rsid w:val="009E2710"/>
    <w:rsid w:val="009E4E3E"/>
    <w:rsid w:val="009E750F"/>
    <w:rsid w:val="009F0E2E"/>
    <w:rsid w:val="009F45C9"/>
    <w:rsid w:val="009F4B6B"/>
    <w:rsid w:val="009F587A"/>
    <w:rsid w:val="00A01644"/>
    <w:rsid w:val="00A04BD1"/>
    <w:rsid w:val="00A04D96"/>
    <w:rsid w:val="00A05DFA"/>
    <w:rsid w:val="00A0629B"/>
    <w:rsid w:val="00A07691"/>
    <w:rsid w:val="00A077BC"/>
    <w:rsid w:val="00A11200"/>
    <w:rsid w:val="00A128CF"/>
    <w:rsid w:val="00A16D3F"/>
    <w:rsid w:val="00A16DC7"/>
    <w:rsid w:val="00A21C40"/>
    <w:rsid w:val="00A32AF8"/>
    <w:rsid w:val="00A3747B"/>
    <w:rsid w:val="00A41826"/>
    <w:rsid w:val="00A41A80"/>
    <w:rsid w:val="00A4318E"/>
    <w:rsid w:val="00A437CE"/>
    <w:rsid w:val="00A4472B"/>
    <w:rsid w:val="00A44CC5"/>
    <w:rsid w:val="00A45752"/>
    <w:rsid w:val="00A45B63"/>
    <w:rsid w:val="00A45F8A"/>
    <w:rsid w:val="00A4604D"/>
    <w:rsid w:val="00A4624E"/>
    <w:rsid w:val="00A50BE0"/>
    <w:rsid w:val="00A5163D"/>
    <w:rsid w:val="00A53DAC"/>
    <w:rsid w:val="00A5497B"/>
    <w:rsid w:val="00A55477"/>
    <w:rsid w:val="00A55807"/>
    <w:rsid w:val="00A55B72"/>
    <w:rsid w:val="00A55F6F"/>
    <w:rsid w:val="00A56F0E"/>
    <w:rsid w:val="00A57FB8"/>
    <w:rsid w:val="00A60213"/>
    <w:rsid w:val="00A6125B"/>
    <w:rsid w:val="00A621DC"/>
    <w:rsid w:val="00A63672"/>
    <w:rsid w:val="00A65425"/>
    <w:rsid w:val="00A656C9"/>
    <w:rsid w:val="00A65A3A"/>
    <w:rsid w:val="00A71AAA"/>
    <w:rsid w:val="00A74A09"/>
    <w:rsid w:val="00A74A5A"/>
    <w:rsid w:val="00A74BF4"/>
    <w:rsid w:val="00A75B75"/>
    <w:rsid w:val="00A762CA"/>
    <w:rsid w:val="00A77CEE"/>
    <w:rsid w:val="00A77CF5"/>
    <w:rsid w:val="00A81F1A"/>
    <w:rsid w:val="00A83547"/>
    <w:rsid w:val="00A84DE3"/>
    <w:rsid w:val="00A90D1B"/>
    <w:rsid w:val="00A9147B"/>
    <w:rsid w:val="00A92CE5"/>
    <w:rsid w:val="00A92F41"/>
    <w:rsid w:val="00A93327"/>
    <w:rsid w:val="00A93A59"/>
    <w:rsid w:val="00A9651E"/>
    <w:rsid w:val="00AA36A0"/>
    <w:rsid w:val="00AA3820"/>
    <w:rsid w:val="00AA3B4C"/>
    <w:rsid w:val="00AA4691"/>
    <w:rsid w:val="00AA481A"/>
    <w:rsid w:val="00AA5724"/>
    <w:rsid w:val="00AB2570"/>
    <w:rsid w:val="00AB43B9"/>
    <w:rsid w:val="00AB5C1D"/>
    <w:rsid w:val="00AB6C2F"/>
    <w:rsid w:val="00AB7E6D"/>
    <w:rsid w:val="00AC1A4F"/>
    <w:rsid w:val="00AC22D2"/>
    <w:rsid w:val="00AC5180"/>
    <w:rsid w:val="00AC6165"/>
    <w:rsid w:val="00AD7647"/>
    <w:rsid w:val="00AD7F72"/>
    <w:rsid w:val="00AD7FD5"/>
    <w:rsid w:val="00AE1DBB"/>
    <w:rsid w:val="00AE3DF9"/>
    <w:rsid w:val="00AE76AB"/>
    <w:rsid w:val="00AE77B3"/>
    <w:rsid w:val="00AE7EAA"/>
    <w:rsid w:val="00AF0570"/>
    <w:rsid w:val="00AF0B9B"/>
    <w:rsid w:val="00AF1836"/>
    <w:rsid w:val="00AF2BEF"/>
    <w:rsid w:val="00AF3B18"/>
    <w:rsid w:val="00AF4C2D"/>
    <w:rsid w:val="00B00A04"/>
    <w:rsid w:val="00B01F02"/>
    <w:rsid w:val="00B043A1"/>
    <w:rsid w:val="00B047DC"/>
    <w:rsid w:val="00B05397"/>
    <w:rsid w:val="00B10799"/>
    <w:rsid w:val="00B117CE"/>
    <w:rsid w:val="00B117F8"/>
    <w:rsid w:val="00B14150"/>
    <w:rsid w:val="00B14B15"/>
    <w:rsid w:val="00B20958"/>
    <w:rsid w:val="00B21554"/>
    <w:rsid w:val="00B216A4"/>
    <w:rsid w:val="00B21EAA"/>
    <w:rsid w:val="00B2215D"/>
    <w:rsid w:val="00B23C65"/>
    <w:rsid w:val="00B24114"/>
    <w:rsid w:val="00B2471D"/>
    <w:rsid w:val="00B24A35"/>
    <w:rsid w:val="00B2593B"/>
    <w:rsid w:val="00B330F0"/>
    <w:rsid w:val="00B34511"/>
    <w:rsid w:val="00B346A5"/>
    <w:rsid w:val="00B34C4F"/>
    <w:rsid w:val="00B35E6C"/>
    <w:rsid w:val="00B407FF"/>
    <w:rsid w:val="00B41459"/>
    <w:rsid w:val="00B43128"/>
    <w:rsid w:val="00B44F2B"/>
    <w:rsid w:val="00B4655B"/>
    <w:rsid w:val="00B50D7D"/>
    <w:rsid w:val="00B522D7"/>
    <w:rsid w:val="00B54EBB"/>
    <w:rsid w:val="00B56CE8"/>
    <w:rsid w:val="00B618DB"/>
    <w:rsid w:val="00B62826"/>
    <w:rsid w:val="00B62EA4"/>
    <w:rsid w:val="00B655FA"/>
    <w:rsid w:val="00B65ACA"/>
    <w:rsid w:val="00B70BB8"/>
    <w:rsid w:val="00B70C9A"/>
    <w:rsid w:val="00B72016"/>
    <w:rsid w:val="00B736A8"/>
    <w:rsid w:val="00B745D1"/>
    <w:rsid w:val="00B74B72"/>
    <w:rsid w:val="00B801F7"/>
    <w:rsid w:val="00B825D3"/>
    <w:rsid w:val="00B830D0"/>
    <w:rsid w:val="00B832D0"/>
    <w:rsid w:val="00B832DE"/>
    <w:rsid w:val="00B83C5B"/>
    <w:rsid w:val="00B854D5"/>
    <w:rsid w:val="00B86B97"/>
    <w:rsid w:val="00B87449"/>
    <w:rsid w:val="00B87F3A"/>
    <w:rsid w:val="00B901CC"/>
    <w:rsid w:val="00B94B39"/>
    <w:rsid w:val="00B95CD0"/>
    <w:rsid w:val="00B960F2"/>
    <w:rsid w:val="00B96172"/>
    <w:rsid w:val="00BA24FE"/>
    <w:rsid w:val="00BA2AE4"/>
    <w:rsid w:val="00BA42AA"/>
    <w:rsid w:val="00BA598B"/>
    <w:rsid w:val="00BB0224"/>
    <w:rsid w:val="00BB3303"/>
    <w:rsid w:val="00BB375A"/>
    <w:rsid w:val="00BB4376"/>
    <w:rsid w:val="00BB5B13"/>
    <w:rsid w:val="00BB5CE1"/>
    <w:rsid w:val="00BC093A"/>
    <w:rsid w:val="00BC1EE5"/>
    <w:rsid w:val="00BC2BB2"/>
    <w:rsid w:val="00BC4ACC"/>
    <w:rsid w:val="00BC5FE8"/>
    <w:rsid w:val="00BC5FE9"/>
    <w:rsid w:val="00BC68AE"/>
    <w:rsid w:val="00BC6E6C"/>
    <w:rsid w:val="00BC7FDF"/>
    <w:rsid w:val="00BD045D"/>
    <w:rsid w:val="00BD0FE9"/>
    <w:rsid w:val="00BD12B5"/>
    <w:rsid w:val="00BD1431"/>
    <w:rsid w:val="00BD1FFD"/>
    <w:rsid w:val="00BD42AF"/>
    <w:rsid w:val="00BD4E7D"/>
    <w:rsid w:val="00BD5FA2"/>
    <w:rsid w:val="00BD7A3B"/>
    <w:rsid w:val="00BE0CFF"/>
    <w:rsid w:val="00BE1B91"/>
    <w:rsid w:val="00BE2125"/>
    <w:rsid w:val="00BE55C1"/>
    <w:rsid w:val="00BF1231"/>
    <w:rsid w:val="00BF1F60"/>
    <w:rsid w:val="00BF22D6"/>
    <w:rsid w:val="00BF4C6A"/>
    <w:rsid w:val="00BF4F7F"/>
    <w:rsid w:val="00BF5342"/>
    <w:rsid w:val="00C00266"/>
    <w:rsid w:val="00C007D4"/>
    <w:rsid w:val="00C02911"/>
    <w:rsid w:val="00C02C28"/>
    <w:rsid w:val="00C04868"/>
    <w:rsid w:val="00C048AD"/>
    <w:rsid w:val="00C05434"/>
    <w:rsid w:val="00C1004E"/>
    <w:rsid w:val="00C105B9"/>
    <w:rsid w:val="00C112B8"/>
    <w:rsid w:val="00C116B9"/>
    <w:rsid w:val="00C1298F"/>
    <w:rsid w:val="00C12A75"/>
    <w:rsid w:val="00C217A8"/>
    <w:rsid w:val="00C21AEA"/>
    <w:rsid w:val="00C21B40"/>
    <w:rsid w:val="00C21D27"/>
    <w:rsid w:val="00C242AB"/>
    <w:rsid w:val="00C2481F"/>
    <w:rsid w:val="00C24C1A"/>
    <w:rsid w:val="00C26B42"/>
    <w:rsid w:val="00C30098"/>
    <w:rsid w:val="00C30B2A"/>
    <w:rsid w:val="00C322E7"/>
    <w:rsid w:val="00C3264E"/>
    <w:rsid w:val="00C360C0"/>
    <w:rsid w:val="00C412BA"/>
    <w:rsid w:val="00C421D3"/>
    <w:rsid w:val="00C43A41"/>
    <w:rsid w:val="00C449FD"/>
    <w:rsid w:val="00C50509"/>
    <w:rsid w:val="00C50E26"/>
    <w:rsid w:val="00C51D56"/>
    <w:rsid w:val="00C537B5"/>
    <w:rsid w:val="00C549D6"/>
    <w:rsid w:val="00C5720C"/>
    <w:rsid w:val="00C57B2C"/>
    <w:rsid w:val="00C612CE"/>
    <w:rsid w:val="00C61DC7"/>
    <w:rsid w:val="00C650B9"/>
    <w:rsid w:val="00C71755"/>
    <w:rsid w:val="00C73C25"/>
    <w:rsid w:val="00C73C4B"/>
    <w:rsid w:val="00C774D6"/>
    <w:rsid w:val="00C83A14"/>
    <w:rsid w:val="00C84C27"/>
    <w:rsid w:val="00C855C9"/>
    <w:rsid w:val="00C85C78"/>
    <w:rsid w:val="00C86AB7"/>
    <w:rsid w:val="00C87570"/>
    <w:rsid w:val="00C9012C"/>
    <w:rsid w:val="00C91A99"/>
    <w:rsid w:val="00C92168"/>
    <w:rsid w:val="00C92B40"/>
    <w:rsid w:val="00C966CB"/>
    <w:rsid w:val="00C969DF"/>
    <w:rsid w:val="00C97B1B"/>
    <w:rsid w:val="00C97E54"/>
    <w:rsid w:val="00CA044E"/>
    <w:rsid w:val="00CA1735"/>
    <w:rsid w:val="00CA2794"/>
    <w:rsid w:val="00CA679A"/>
    <w:rsid w:val="00CA7D26"/>
    <w:rsid w:val="00CB1477"/>
    <w:rsid w:val="00CB1ECD"/>
    <w:rsid w:val="00CB2C93"/>
    <w:rsid w:val="00CB701D"/>
    <w:rsid w:val="00CC0BB7"/>
    <w:rsid w:val="00CC1159"/>
    <w:rsid w:val="00CC652C"/>
    <w:rsid w:val="00CD01C3"/>
    <w:rsid w:val="00CD54F0"/>
    <w:rsid w:val="00CD5925"/>
    <w:rsid w:val="00CD7176"/>
    <w:rsid w:val="00CE01E7"/>
    <w:rsid w:val="00CE0772"/>
    <w:rsid w:val="00CE4FD1"/>
    <w:rsid w:val="00CE557A"/>
    <w:rsid w:val="00CE5D9E"/>
    <w:rsid w:val="00CE6E82"/>
    <w:rsid w:val="00CE7ABC"/>
    <w:rsid w:val="00CF199E"/>
    <w:rsid w:val="00CF74FB"/>
    <w:rsid w:val="00CF7835"/>
    <w:rsid w:val="00D00961"/>
    <w:rsid w:val="00D011F9"/>
    <w:rsid w:val="00D01FA1"/>
    <w:rsid w:val="00D0429A"/>
    <w:rsid w:val="00D065AD"/>
    <w:rsid w:val="00D0678E"/>
    <w:rsid w:val="00D06E2A"/>
    <w:rsid w:val="00D07DE0"/>
    <w:rsid w:val="00D10EA3"/>
    <w:rsid w:val="00D1410C"/>
    <w:rsid w:val="00D146E9"/>
    <w:rsid w:val="00D223B8"/>
    <w:rsid w:val="00D226C8"/>
    <w:rsid w:val="00D22E9D"/>
    <w:rsid w:val="00D2405C"/>
    <w:rsid w:val="00D24717"/>
    <w:rsid w:val="00D24F4C"/>
    <w:rsid w:val="00D25032"/>
    <w:rsid w:val="00D2597D"/>
    <w:rsid w:val="00D25E91"/>
    <w:rsid w:val="00D274D7"/>
    <w:rsid w:val="00D27A50"/>
    <w:rsid w:val="00D3079D"/>
    <w:rsid w:val="00D36077"/>
    <w:rsid w:val="00D36112"/>
    <w:rsid w:val="00D431DC"/>
    <w:rsid w:val="00D501A0"/>
    <w:rsid w:val="00D50573"/>
    <w:rsid w:val="00D50CDE"/>
    <w:rsid w:val="00D56CA2"/>
    <w:rsid w:val="00D57C6D"/>
    <w:rsid w:val="00D57D86"/>
    <w:rsid w:val="00D57EE6"/>
    <w:rsid w:val="00D57F79"/>
    <w:rsid w:val="00D60349"/>
    <w:rsid w:val="00D64FA9"/>
    <w:rsid w:val="00D653B1"/>
    <w:rsid w:val="00D65A8F"/>
    <w:rsid w:val="00D71F45"/>
    <w:rsid w:val="00D73079"/>
    <w:rsid w:val="00D80AE1"/>
    <w:rsid w:val="00D828E9"/>
    <w:rsid w:val="00D83F84"/>
    <w:rsid w:val="00D84DD1"/>
    <w:rsid w:val="00D87F99"/>
    <w:rsid w:val="00D900FE"/>
    <w:rsid w:val="00D904F0"/>
    <w:rsid w:val="00D91378"/>
    <w:rsid w:val="00D94710"/>
    <w:rsid w:val="00DA17BA"/>
    <w:rsid w:val="00DA1855"/>
    <w:rsid w:val="00DA4672"/>
    <w:rsid w:val="00DA5675"/>
    <w:rsid w:val="00DB42AC"/>
    <w:rsid w:val="00DB51B2"/>
    <w:rsid w:val="00DC0EF1"/>
    <w:rsid w:val="00DC0EFF"/>
    <w:rsid w:val="00DC1576"/>
    <w:rsid w:val="00DC4A59"/>
    <w:rsid w:val="00DC60BF"/>
    <w:rsid w:val="00DC6406"/>
    <w:rsid w:val="00DC7873"/>
    <w:rsid w:val="00DD1408"/>
    <w:rsid w:val="00DD1F07"/>
    <w:rsid w:val="00DD356D"/>
    <w:rsid w:val="00DD5BC5"/>
    <w:rsid w:val="00DD691C"/>
    <w:rsid w:val="00DE068C"/>
    <w:rsid w:val="00DE0899"/>
    <w:rsid w:val="00DE6063"/>
    <w:rsid w:val="00DF14EE"/>
    <w:rsid w:val="00DF176E"/>
    <w:rsid w:val="00DF3DA4"/>
    <w:rsid w:val="00DF3FBB"/>
    <w:rsid w:val="00DF519C"/>
    <w:rsid w:val="00DF6407"/>
    <w:rsid w:val="00E01254"/>
    <w:rsid w:val="00E02BB5"/>
    <w:rsid w:val="00E02E84"/>
    <w:rsid w:val="00E049C4"/>
    <w:rsid w:val="00E06F51"/>
    <w:rsid w:val="00E1153B"/>
    <w:rsid w:val="00E12C21"/>
    <w:rsid w:val="00E140C1"/>
    <w:rsid w:val="00E15BF4"/>
    <w:rsid w:val="00E15D36"/>
    <w:rsid w:val="00E2003F"/>
    <w:rsid w:val="00E21C3B"/>
    <w:rsid w:val="00E21DBD"/>
    <w:rsid w:val="00E25904"/>
    <w:rsid w:val="00E25D4B"/>
    <w:rsid w:val="00E2640D"/>
    <w:rsid w:val="00E26A76"/>
    <w:rsid w:val="00E26D44"/>
    <w:rsid w:val="00E2789C"/>
    <w:rsid w:val="00E30E64"/>
    <w:rsid w:val="00E312C9"/>
    <w:rsid w:val="00E3463F"/>
    <w:rsid w:val="00E40FE2"/>
    <w:rsid w:val="00E41EA1"/>
    <w:rsid w:val="00E43FDF"/>
    <w:rsid w:val="00E44080"/>
    <w:rsid w:val="00E4554E"/>
    <w:rsid w:val="00E461E2"/>
    <w:rsid w:val="00E46EE9"/>
    <w:rsid w:val="00E50284"/>
    <w:rsid w:val="00E513FA"/>
    <w:rsid w:val="00E5240E"/>
    <w:rsid w:val="00E537FD"/>
    <w:rsid w:val="00E54359"/>
    <w:rsid w:val="00E602B9"/>
    <w:rsid w:val="00E6089B"/>
    <w:rsid w:val="00E6234E"/>
    <w:rsid w:val="00E63E6B"/>
    <w:rsid w:val="00E65AC9"/>
    <w:rsid w:val="00E76D73"/>
    <w:rsid w:val="00E76ECE"/>
    <w:rsid w:val="00E775E8"/>
    <w:rsid w:val="00E77C86"/>
    <w:rsid w:val="00E81228"/>
    <w:rsid w:val="00E82110"/>
    <w:rsid w:val="00E8328E"/>
    <w:rsid w:val="00E83FAD"/>
    <w:rsid w:val="00E84012"/>
    <w:rsid w:val="00E84B0B"/>
    <w:rsid w:val="00E85AD7"/>
    <w:rsid w:val="00E85DE0"/>
    <w:rsid w:val="00E90087"/>
    <w:rsid w:val="00E90E47"/>
    <w:rsid w:val="00E92189"/>
    <w:rsid w:val="00E959AF"/>
    <w:rsid w:val="00EA0724"/>
    <w:rsid w:val="00EA0A37"/>
    <w:rsid w:val="00EA26F0"/>
    <w:rsid w:val="00EA7703"/>
    <w:rsid w:val="00EA7AE8"/>
    <w:rsid w:val="00EA7DE0"/>
    <w:rsid w:val="00EB1D71"/>
    <w:rsid w:val="00EB2245"/>
    <w:rsid w:val="00EB25C7"/>
    <w:rsid w:val="00EB2D87"/>
    <w:rsid w:val="00EB2EBC"/>
    <w:rsid w:val="00EB35A2"/>
    <w:rsid w:val="00EB463B"/>
    <w:rsid w:val="00EB6317"/>
    <w:rsid w:val="00EB6414"/>
    <w:rsid w:val="00EB7DED"/>
    <w:rsid w:val="00EC343A"/>
    <w:rsid w:val="00EC4354"/>
    <w:rsid w:val="00ED00D6"/>
    <w:rsid w:val="00ED25AA"/>
    <w:rsid w:val="00ED2B2D"/>
    <w:rsid w:val="00ED3062"/>
    <w:rsid w:val="00ED428A"/>
    <w:rsid w:val="00ED56D7"/>
    <w:rsid w:val="00ED56E5"/>
    <w:rsid w:val="00ED7436"/>
    <w:rsid w:val="00EE20DB"/>
    <w:rsid w:val="00EE3EDB"/>
    <w:rsid w:val="00EF38E0"/>
    <w:rsid w:val="00EF75FC"/>
    <w:rsid w:val="00F00A81"/>
    <w:rsid w:val="00F00CCE"/>
    <w:rsid w:val="00F04082"/>
    <w:rsid w:val="00F05057"/>
    <w:rsid w:val="00F05C8D"/>
    <w:rsid w:val="00F068F4"/>
    <w:rsid w:val="00F069AD"/>
    <w:rsid w:val="00F07DDE"/>
    <w:rsid w:val="00F12991"/>
    <w:rsid w:val="00F14237"/>
    <w:rsid w:val="00F158DC"/>
    <w:rsid w:val="00F21615"/>
    <w:rsid w:val="00F235DC"/>
    <w:rsid w:val="00F24489"/>
    <w:rsid w:val="00F25007"/>
    <w:rsid w:val="00F26AB4"/>
    <w:rsid w:val="00F26E7C"/>
    <w:rsid w:val="00F271E7"/>
    <w:rsid w:val="00F31084"/>
    <w:rsid w:val="00F32964"/>
    <w:rsid w:val="00F35185"/>
    <w:rsid w:val="00F37378"/>
    <w:rsid w:val="00F37DD4"/>
    <w:rsid w:val="00F40F9D"/>
    <w:rsid w:val="00F43EBC"/>
    <w:rsid w:val="00F51672"/>
    <w:rsid w:val="00F5341C"/>
    <w:rsid w:val="00F53F52"/>
    <w:rsid w:val="00F543A9"/>
    <w:rsid w:val="00F56025"/>
    <w:rsid w:val="00F5747B"/>
    <w:rsid w:val="00F626E8"/>
    <w:rsid w:val="00F62FF6"/>
    <w:rsid w:val="00F64DF5"/>
    <w:rsid w:val="00F64EBD"/>
    <w:rsid w:val="00F6538B"/>
    <w:rsid w:val="00F656B7"/>
    <w:rsid w:val="00F6658D"/>
    <w:rsid w:val="00F675CF"/>
    <w:rsid w:val="00F677E0"/>
    <w:rsid w:val="00F70168"/>
    <w:rsid w:val="00F70CDC"/>
    <w:rsid w:val="00F71512"/>
    <w:rsid w:val="00F7229D"/>
    <w:rsid w:val="00F74114"/>
    <w:rsid w:val="00F7494B"/>
    <w:rsid w:val="00F75037"/>
    <w:rsid w:val="00F75786"/>
    <w:rsid w:val="00F7770F"/>
    <w:rsid w:val="00F803CB"/>
    <w:rsid w:val="00F838F2"/>
    <w:rsid w:val="00F86488"/>
    <w:rsid w:val="00F868EF"/>
    <w:rsid w:val="00F871CB"/>
    <w:rsid w:val="00F878E9"/>
    <w:rsid w:val="00F87905"/>
    <w:rsid w:val="00F938A8"/>
    <w:rsid w:val="00F93906"/>
    <w:rsid w:val="00F969EC"/>
    <w:rsid w:val="00FA44A9"/>
    <w:rsid w:val="00FA552F"/>
    <w:rsid w:val="00FA5A7B"/>
    <w:rsid w:val="00FA6F25"/>
    <w:rsid w:val="00FA7889"/>
    <w:rsid w:val="00FB30C2"/>
    <w:rsid w:val="00FB3A2F"/>
    <w:rsid w:val="00FB4E4C"/>
    <w:rsid w:val="00FB521D"/>
    <w:rsid w:val="00FC30F3"/>
    <w:rsid w:val="00FC3580"/>
    <w:rsid w:val="00FC5F4C"/>
    <w:rsid w:val="00FD1C0D"/>
    <w:rsid w:val="00FD3A0F"/>
    <w:rsid w:val="00FD4544"/>
    <w:rsid w:val="00FD61C3"/>
    <w:rsid w:val="00FD7B73"/>
    <w:rsid w:val="00FD7C01"/>
    <w:rsid w:val="00FE0925"/>
    <w:rsid w:val="00FE0EDE"/>
    <w:rsid w:val="00FE36DB"/>
    <w:rsid w:val="00FE7DBB"/>
    <w:rsid w:val="00FF09BD"/>
    <w:rsid w:val="00FF2396"/>
    <w:rsid w:val="00FF2861"/>
    <w:rsid w:val="00FF44D0"/>
    <w:rsid w:val="00FF4C44"/>
    <w:rsid w:val="00FF5C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4033">
      <o:colormenu v:ext="edit" fillcolor="none"/>
    </o:shapedefaults>
    <o:shapelayout v:ext="edit">
      <o:idmap v:ext="edit" data="1"/>
    </o:shapelayout>
  </w:shapeDefaults>
  <w:decimalSymbol w:val="."/>
  <w:listSeparator w:val=","/>
  <w14:docId w14:val="5E144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w:eastAsiaTheme="minorHAnsi" w:hAnsi="Courier" w:cs="Times New Roman"/>
        <w:lang w:val="en-AU" w:eastAsia="en-US" w:bidi="ar-SA"/>
      </w:rPr>
    </w:rPrDefault>
    <w:pPrDefault/>
  </w:docDefaults>
  <w:latentStyles w:defLockedState="0" w:defUIPriority="99" w:defSemiHidden="0" w:defUnhideWhenUsed="0" w:defQFormat="0" w:count="371">
    <w:lsdException w:name="heading 1" w:uiPriority="4" w:qFormat="1"/>
    <w:lsdException w:name="heading 2" w:uiPriority="4" w:qFormat="1"/>
    <w:lsdException w:name="heading 3" w:uiPriority="4" w:qFormat="1"/>
    <w:lsdException w:name="heading 4" w:uiPriority="4" w:qFormat="1"/>
    <w:lsdException w:name="heading 5" w:semiHidden="1" w:uiPriority="0"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39" w:unhideWhenUsed="1"/>
    <w:lsdException w:name="annotation text" w:semiHidden="1" w:unhideWhenUsed="1"/>
    <w:lsdException w:name="header" w:uiPriority="0" w:unhideWhenUsed="1"/>
    <w:lsdException w:name="footer" w:unhideWhenUsed="1"/>
    <w:lsdException w:name="index heading" w:semiHidden="1" w:unhideWhenUsed="1"/>
    <w:lsdException w:name="caption" w:semiHidden="1" w:uiPriority="14"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lsdException w:name="Body Text"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lsdException w:name="Date" w:semiHidden="1" w:uiPriority="0"/>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0"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semiHidden="1" w:qFormat="1"/>
    <w:lsdException w:name="Bibliography" w:semiHidden="1"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semiHidden/>
    <w:rsid w:val="00692E0C"/>
    <w:pPr>
      <w:spacing w:line="264" w:lineRule="atLeast"/>
    </w:pPr>
    <w:rPr>
      <w:rFonts w:asciiTheme="minorHAnsi" w:hAnsiTheme="minorHAnsi"/>
      <w:color w:val="000000" w:themeColor="text1"/>
      <w:spacing w:val="-2"/>
      <w:sz w:val="22"/>
    </w:rPr>
  </w:style>
  <w:style w:type="paragraph" w:styleId="Heading1">
    <w:name w:val="heading 1"/>
    <w:next w:val="BodyCopy"/>
    <w:link w:val="Heading1Char"/>
    <w:uiPriority w:val="4"/>
    <w:qFormat/>
    <w:rsid w:val="005F623F"/>
    <w:pPr>
      <w:keepNext/>
      <w:keepLines/>
      <w:numPr>
        <w:numId w:val="1"/>
      </w:numPr>
      <w:spacing w:after="240" w:line="560" w:lineRule="exact"/>
      <w:outlineLvl w:val="0"/>
    </w:pPr>
    <w:rPr>
      <w:rFonts w:asciiTheme="majorHAnsi" w:eastAsiaTheme="majorEastAsia" w:hAnsiTheme="majorHAnsi" w:cstheme="majorBidi"/>
      <w:b/>
      <w:bCs/>
      <w:caps/>
      <w:color w:val="000000" w:themeColor="text1"/>
      <w:sz w:val="52"/>
      <w:szCs w:val="28"/>
    </w:rPr>
  </w:style>
  <w:style w:type="paragraph" w:styleId="Heading2">
    <w:name w:val="heading 2"/>
    <w:next w:val="BodyCopy"/>
    <w:link w:val="Heading2Char"/>
    <w:uiPriority w:val="4"/>
    <w:qFormat/>
    <w:rsid w:val="004368EB"/>
    <w:pPr>
      <w:keepNext/>
      <w:keepLines/>
      <w:numPr>
        <w:ilvl w:val="1"/>
        <w:numId w:val="1"/>
      </w:numPr>
      <w:spacing w:before="369" w:after="170" w:line="384" w:lineRule="atLeast"/>
      <w:outlineLvl w:val="1"/>
    </w:pPr>
    <w:rPr>
      <w:rFonts w:asciiTheme="majorHAnsi" w:eastAsiaTheme="majorEastAsia" w:hAnsiTheme="majorHAnsi" w:cstheme="majorBidi"/>
      <w:b/>
      <w:bCs/>
      <w:caps/>
      <w:color w:val="000000" w:themeColor="text1"/>
      <w:spacing w:val="-3"/>
      <w:sz w:val="32"/>
      <w:szCs w:val="26"/>
      <w:u w:val="single"/>
    </w:rPr>
  </w:style>
  <w:style w:type="paragraph" w:styleId="Heading3">
    <w:name w:val="heading 3"/>
    <w:next w:val="BodyCopy"/>
    <w:link w:val="Heading3Char"/>
    <w:uiPriority w:val="4"/>
    <w:qFormat/>
    <w:rsid w:val="004368EB"/>
    <w:pPr>
      <w:keepNext/>
      <w:keepLines/>
      <w:numPr>
        <w:ilvl w:val="2"/>
        <w:numId w:val="1"/>
      </w:numPr>
      <w:spacing w:before="284" w:after="142" w:line="336" w:lineRule="atLeast"/>
      <w:outlineLvl w:val="2"/>
    </w:pPr>
    <w:rPr>
      <w:rFonts w:ascii="Franklin Gothic Demi" w:eastAsiaTheme="majorEastAsia" w:hAnsi="Franklin Gothic Demi" w:cstheme="majorBidi"/>
      <w:bCs/>
      <w:color w:val="000000" w:themeColor="text1"/>
      <w:spacing w:val="-6"/>
      <w:sz w:val="28"/>
    </w:rPr>
  </w:style>
  <w:style w:type="paragraph" w:styleId="Heading4">
    <w:name w:val="heading 4"/>
    <w:next w:val="BodyCopy"/>
    <w:link w:val="Heading4Char"/>
    <w:uiPriority w:val="4"/>
    <w:qFormat/>
    <w:rsid w:val="009565A5"/>
    <w:pPr>
      <w:keepNext/>
      <w:keepLines/>
      <w:spacing w:before="170" w:after="113" w:line="288" w:lineRule="atLeast"/>
      <w:outlineLvl w:val="3"/>
    </w:pPr>
    <w:rPr>
      <w:rFonts w:asciiTheme="majorHAnsi" w:eastAsiaTheme="majorEastAsia" w:hAnsiTheme="majorHAnsi" w:cstheme="majorBidi"/>
      <w:bCs/>
      <w:iCs/>
      <w:color w:val="000000" w:themeColor="text1"/>
      <w:spacing w:val="-3"/>
      <w:sz w:val="24"/>
    </w:rPr>
  </w:style>
  <w:style w:type="paragraph" w:styleId="Heading5">
    <w:name w:val="heading 5"/>
    <w:next w:val="BodyText"/>
    <w:link w:val="Heading5Char"/>
    <w:uiPriority w:val="5"/>
    <w:semiHidden/>
    <w:qFormat/>
    <w:rsid w:val="009345F1"/>
    <w:pPr>
      <w:keepNext/>
      <w:keepLines/>
      <w:spacing w:before="200"/>
      <w:outlineLvl w:val="4"/>
    </w:pPr>
    <w:rPr>
      <w:rFonts w:asciiTheme="majorHAnsi" w:eastAsiaTheme="majorEastAsia" w:hAnsiTheme="majorHAnsi" w:cstheme="majorBidi"/>
      <w:color w:val="7F7800" w:themeColor="accent1" w:themeShade="7F"/>
    </w:rPr>
  </w:style>
  <w:style w:type="paragraph" w:styleId="Heading6">
    <w:name w:val="heading 6"/>
    <w:next w:val="BodyText"/>
    <w:link w:val="Heading6Char"/>
    <w:uiPriority w:val="5"/>
    <w:semiHidden/>
    <w:qFormat/>
    <w:rsid w:val="009345F1"/>
    <w:pPr>
      <w:keepNext/>
      <w:keepLines/>
      <w:spacing w:before="200"/>
      <w:outlineLvl w:val="5"/>
    </w:pPr>
    <w:rPr>
      <w:rFonts w:asciiTheme="majorHAnsi" w:eastAsiaTheme="majorEastAsia" w:hAnsiTheme="majorHAnsi" w:cstheme="majorBidi"/>
      <w:i/>
      <w:iCs/>
      <w:color w:val="7F7800" w:themeColor="accent1" w:themeShade="7F"/>
    </w:rPr>
  </w:style>
  <w:style w:type="paragraph" w:styleId="Heading7">
    <w:name w:val="heading 7"/>
    <w:next w:val="BodyText"/>
    <w:link w:val="Heading7Char"/>
    <w:uiPriority w:val="5"/>
    <w:semiHidden/>
    <w:qFormat/>
    <w:rsid w:val="009345F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next w:val="BodyText"/>
    <w:link w:val="Heading8Char"/>
    <w:uiPriority w:val="5"/>
    <w:semiHidden/>
    <w:qFormat/>
    <w:rsid w:val="009345F1"/>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next w:val="BodyText"/>
    <w:link w:val="Heading9Char"/>
    <w:uiPriority w:val="5"/>
    <w:semiHidden/>
    <w:rsid w:val="00CE4FD1"/>
    <w:pPr>
      <w:keepNext/>
      <w:keepLines/>
      <w:pBdr>
        <w:bottom w:val="single" w:sz="4" w:space="14" w:color="FFF200" w:themeColor="background2"/>
      </w:pBdr>
      <w:spacing w:line="336" w:lineRule="atLeast"/>
      <w:outlineLvl w:val="8"/>
    </w:pPr>
    <w:rPr>
      <w:rFonts w:asciiTheme="majorHAnsi" w:eastAsiaTheme="majorEastAsia" w:hAnsiTheme="majorHAnsi" w:cstheme="majorBidi"/>
      <w:iCs/>
      <w:caps/>
      <w:color w:val="000000" w:themeColor="text1"/>
      <w:spacing w:val="-3"/>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15AE4"/>
    <w:rPr>
      <w:rFonts w:ascii="Tahoma" w:hAnsi="Tahoma" w:cs="Tahoma"/>
      <w:sz w:val="16"/>
      <w:szCs w:val="16"/>
    </w:rPr>
  </w:style>
  <w:style w:type="character" w:customStyle="1" w:styleId="BalloonTextChar">
    <w:name w:val="Balloon Text Char"/>
    <w:basedOn w:val="DefaultParagraphFont"/>
    <w:link w:val="BalloonText"/>
    <w:uiPriority w:val="99"/>
    <w:semiHidden/>
    <w:rsid w:val="00844C2D"/>
    <w:rPr>
      <w:rFonts w:ascii="Tahoma" w:hAnsi="Tahoma" w:cs="Tahoma"/>
      <w:sz w:val="16"/>
      <w:szCs w:val="16"/>
    </w:rPr>
  </w:style>
  <w:style w:type="table" w:styleId="TableGrid">
    <w:name w:val="Table Grid"/>
    <w:basedOn w:val="TableNormal"/>
    <w:uiPriority w:val="59"/>
    <w:rsid w:val="00BC4ACC"/>
    <w:rPr>
      <w:rFonts w:ascii="Arial" w:hAnsi="Arial"/>
    </w:rPr>
    <w:tblPr>
      <w:tblCellMar>
        <w:left w:w="0" w:type="dxa"/>
        <w:right w:w="0" w:type="dxa"/>
      </w:tblCellMar>
    </w:tblPr>
  </w:style>
  <w:style w:type="character" w:customStyle="1" w:styleId="Heading1Char">
    <w:name w:val="Heading 1 Char"/>
    <w:basedOn w:val="DefaultParagraphFont"/>
    <w:link w:val="Heading1"/>
    <w:uiPriority w:val="4"/>
    <w:rsid w:val="005F623F"/>
    <w:rPr>
      <w:rFonts w:asciiTheme="majorHAnsi" w:eastAsiaTheme="majorEastAsia" w:hAnsiTheme="majorHAnsi" w:cstheme="majorBidi"/>
      <w:b/>
      <w:bCs/>
      <w:caps/>
      <w:color w:val="000000" w:themeColor="text1"/>
      <w:sz w:val="52"/>
      <w:szCs w:val="28"/>
    </w:rPr>
  </w:style>
  <w:style w:type="paragraph" w:styleId="Footer">
    <w:name w:val="footer"/>
    <w:link w:val="FooterChar"/>
    <w:uiPriority w:val="99"/>
    <w:rsid w:val="00752C6B"/>
    <w:pPr>
      <w:tabs>
        <w:tab w:val="center" w:pos="4513"/>
        <w:tab w:val="right" w:pos="9026"/>
      </w:tabs>
    </w:pPr>
    <w:rPr>
      <w:rFonts w:asciiTheme="minorHAnsi" w:hAnsiTheme="minorHAnsi"/>
    </w:rPr>
  </w:style>
  <w:style w:type="character" w:customStyle="1" w:styleId="FooterChar">
    <w:name w:val="Footer Char"/>
    <w:basedOn w:val="DefaultParagraphFont"/>
    <w:link w:val="Footer"/>
    <w:uiPriority w:val="99"/>
    <w:rsid w:val="00141378"/>
    <w:rPr>
      <w:rFonts w:asciiTheme="minorHAnsi" w:hAnsiTheme="minorHAnsi"/>
    </w:rPr>
  </w:style>
  <w:style w:type="paragraph" w:styleId="Header">
    <w:name w:val="header"/>
    <w:link w:val="HeaderChar"/>
    <w:uiPriority w:val="99"/>
    <w:semiHidden/>
    <w:rsid w:val="00752C6B"/>
    <w:pPr>
      <w:tabs>
        <w:tab w:val="center" w:pos="4513"/>
        <w:tab w:val="right" w:pos="9026"/>
      </w:tabs>
    </w:pPr>
    <w:rPr>
      <w:rFonts w:asciiTheme="minorHAnsi" w:hAnsiTheme="minorHAnsi"/>
    </w:rPr>
  </w:style>
  <w:style w:type="character" w:customStyle="1" w:styleId="HeaderChar">
    <w:name w:val="Header Char"/>
    <w:basedOn w:val="DefaultParagraphFont"/>
    <w:link w:val="Header"/>
    <w:uiPriority w:val="99"/>
    <w:semiHidden/>
    <w:rsid w:val="00D501A0"/>
    <w:rPr>
      <w:rFonts w:asciiTheme="minorHAnsi" w:hAnsiTheme="minorHAnsi"/>
    </w:rPr>
  </w:style>
  <w:style w:type="character" w:customStyle="1" w:styleId="Heading2Char">
    <w:name w:val="Heading 2 Char"/>
    <w:basedOn w:val="DefaultParagraphFont"/>
    <w:link w:val="Heading2"/>
    <w:uiPriority w:val="4"/>
    <w:rsid w:val="00300940"/>
    <w:rPr>
      <w:rFonts w:asciiTheme="majorHAnsi" w:eastAsiaTheme="majorEastAsia" w:hAnsiTheme="majorHAnsi" w:cstheme="majorBidi"/>
      <w:b/>
      <w:bCs/>
      <w:caps/>
      <w:color w:val="000000" w:themeColor="text1"/>
      <w:spacing w:val="-3"/>
      <w:sz w:val="32"/>
      <w:szCs w:val="26"/>
      <w:u w:val="single"/>
    </w:rPr>
  </w:style>
  <w:style w:type="paragraph" w:styleId="BodyText">
    <w:name w:val="Body Text"/>
    <w:link w:val="BodyTextChar"/>
    <w:uiPriority w:val="99"/>
    <w:semiHidden/>
    <w:rsid w:val="00EA0724"/>
    <w:pPr>
      <w:spacing w:after="120"/>
    </w:pPr>
    <w:rPr>
      <w:rFonts w:asciiTheme="minorHAnsi" w:hAnsiTheme="minorHAnsi"/>
    </w:rPr>
  </w:style>
  <w:style w:type="character" w:customStyle="1" w:styleId="BodyTextChar">
    <w:name w:val="Body Text Char"/>
    <w:basedOn w:val="DefaultParagraphFont"/>
    <w:link w:val="BodyText"/>
    <w:uiPriority w:val="99"/>
    <w:semiHidden/>
    <w:rsid w:val="00672994"/>
    <w:rPr>
      <w:rFonts w:asciiTheme="minorHAnsi" w:hAnsiTheme="minorHAnsi"/>
    </w:rPr>
  </w:style>
  <w:style w:type="character" w:customStyle="1" w:styleId="Heading3Char">
    <w:name w:val="Heading 3 Char"/>
    <w:basedOn w:val="DefaultParagraphFont"/>
    <w:link w:val="Heading3"/>
    <w:uiPriority w:val="4"/>
    <w:rsid w:val="003374B5"/>
    <w:rPr>
      <w:rFonts w:ascii="Franklin Gothic Demi" w:eastAsiaTheme="majorEastAsia" w:hAnsi="Franklin Gothic Demi" w:cstheme="majorBidi"/>
      <w:bCs/>
      <w:color w:val="000000" w:themeColor="text1"/>
      <w:spacing w:val="-6"/>
      <w:sz w:val="28"/>
    </w:rPr>
  </w:style>
  <w:style w:type="character" w:customStyle="1" w:styleId="Heading4Char">
    <w:name w:val="Heading 4 Char"/>
    <w:basedOn w:val="DefaultParagraphFont"/>
    <w:link w:val="Heading4"/>
    <w:uiPriority w:val="4"/>
    <w:rsid w:val="00C421D3"/>
    <w:rPr>
      <w:rFonts w:asciiTheme="majorHAnsi" w:eastAsiaTheme="majorEastAsia" w:hAnsiTheme="majorHAnsi" w:cstheme="majorBidi"/>
      <w:bCs/>
      <w:iCs/>
      <w:color w:val="000000" w:themeColor="text1"/>
      <w:spacing w:val="-3"/>
      <w:sz w:val="24"/>
    </w:rPr>
  </w:style>
  <w:style w:type="paragraph" w:styleId="Subtitle">
    <w:name w:val="Subtitle"/>
    <w:link w:val="SubtitleChar"/>
    <w:uiPriority w:val="99"/>
    <w:semiHidden/>
    <w:qFormat/>
    <w:rsid w:val="00EA0724"/>
    <w:pPr>
      <w:numPr>
        <w:ilvl w:val="1"/>
      </w:numPr>
    </w:pPr>
    <w:rPr>
      <w:rFonts w:asciiTheme="majorHAnsi" w:eastAsiaTheme="majorEastAsia" w:hAnsiTheme="majorHAnsi" w:cstheme="majorBidi"/>
      <w:iCs/>
      <w:color w:val="FFF200" w:themeColor="accent1"/>
      <w:sz w:val="24"/>
      <w:szCs w:val="24"/>
    </w:rPr>
  </w:style>
  <w:style w:type="character" w:customStyle="1" w:styleId="SubtitleChar">
    <w:name w:val="Subtitle Char"/>
    <w:basedOn w:val="DefaultParagraphFont"/>
    <w:link w:val="Subtitle"/>
    <w:uiPriority w:val="99"/>
    <w:semiHidden/>
    <w:rsid w:val="00D501A0"/>
    <w:rPr>
      <w:rFonts w:asciiTheme="majorHAnsi" w:eastAsiaTheme="majorEastAsia" w:hAnsiTheme="majorHAnsi" w:cstheme="majorBidi"/>
      <w:iCs/>
      <w:color w:val="FFF200" w:themeColor="accent1"/>
      <w:sz w:val="24"/>
      <w:szCs w:val="24"/>
    </w:rPr>
  </w:style>
  <w:style w:type="paragraph" w:styleId="Title">
    <w:name w:val="Title"/>
    <w:link w:val="TitleChar"/>
    <w:uiPriority w:val="99"/>
    <w:semiHidden/>
    <w:qFormat/>
    <w:rsid w:val="00EA0724"/>
    <w:pPr>
      <w:pBdr>
        <w:bottom w:val="single" w:sz="8" w:space="4" w:color="FFF200" w:themeColor="accent1"/>
      </w:pBdr>
      <w:spacing w:after="300"/>
      <w:contextualSpacing/>
    </w:pPr>
    <w:rPr>
      <w:rFonts w:asciiTheme="majorHAnsi" w:eastAsiaTheme="majorEastAsia" w:hAnsiTheme="majorHAnsi" w:cstheme="majorBidi"/>
      <w:color w:val="595959" w:themeColor="text2" w:themeShade="BF"/>
      <w:kern w:val="28"/>
      <w:sz w:val="52"/>
      <w:szCs w:val="52"/>
    </w:rPr>
  </w:style>
  <w:style w:type="character" w:customStyle="1" w:styleId="TitleChar">
    <w:name w:val="Title Char"/>
    <w:basedOn w:val="DefaultParagraphFont"/>
    <w:link w:val="Title"/>
    <w:uiPriority w:val="99"/>
    <w:semiHidden/>
    <w:rsid w:val="00D501A0"/>
    <w:rPr>
      <w:rFonts w:asciiTheme="majorHAnsi" w:eastAsiaTheme="majorEastAsia" w:hAnsiTheme="majorHAnsi" w:cstheme="majorBidi"/>
      <w:color w:val="595959" w:themeColor="text2" w:themeShade="BF"/>
      <w:kern w:val="28"/>
      <w:sz w:val="52"/>
      <w:szCs w:val="52"/>
    </w:rPr>
  </w:style>
  <w:style w:type="paragraph" w:styleId="Caption">
    <w:name w:val="caption"/>
    <w:next w:val="BodyText"/>
    <w:link w:val="CaptionChar"/>
    <w:uiPriority w:val="14"/>
    <w:qFormat/>
    <w:rsid w:val="00B825D3"/>
    <w:pPr>
      <w:keepNext/>
      <w:keepLines/>
      <w:spacing w:before="170" w:after="85" w:line="200" w:lineRule="exact"/>
      <w:jc w:val="center"/>
    </w:pPr>
    <w:rPr>
      <w:rFonts w:ascii="Franklin Gothic Demi" w:hAnsi="Franklin Gothic Demi"/>
      <w:bCs/>
      <w:color w:val="000000" w:themeColor="text1"/>
      <w:sz w:val="17"/>
      <w:szCs w:val="18"/>
    </w:rPr>
  </w:style>
  <w:style w:type="paragraph" w:styleId="Date">
    <w:name w:val="Date"/>
    <w:link w:val="DateChar"/>
    <w:uiPriority w:val="99"/>
    <w:semiHidden/>
    <w:rsid w:val="00EA0724"/>
    <w:rPr>
      <w:rFonts w:asciiTheme="minorHAnsi" w:hAnsiTheme="minorHAnsi"/>
    </w:rPr>
  </w:style>
  <w:style w:type="character" w:customStyle="1" w:styleId="DateChar">
    <w:name w:val="Date Char"/>
    <w:basedOn w:val="DefaultParagraphFont"/>
    <w:link w:val="Date"/>
    <w:uiPriority w:val="99"/>
    <w:semiHidden/>
    <w:rsid w:val="00D501A0"/>
    <w:rPr>
      <w:rFonts w:asciiTheme="minorHAnsi" w:hAnsiTheme="minorHAnsi"/>
    </w:rPr>
  </w:style>
  <w:style w:type="paragraph" w:styleId="EndnoteText">
    <w:name w:val="endnote text"/>
    <w:link w:val="EndnoteTextChar"/>
    <w:uiPriority w:val="99"/>
    <w:semiHidden/>
    <w:rsid w:val="00EA0724"/>
    <w:rPr>
      <w:rFonts w:asciiTheme="minorHAnsi" w:hAnsiTheme="minorHAnsi"/>
    </w:rPr>
  </w:style>
  <w:style w:type="character" w:customStyle="1" w:styleId="EndnoteTextChar">
    <w:name w:val="Endnote Text Char"/>
    <w:basedOn w:val="DefaultParagraphFont"/>
    <w:link w:val="EndnoteText"/>
    <w:uiPriority w:val="99"/>
    <w:semiHidden/>
    <w:rsid w:val="00D501A0"/>
    <w:rPr>
      <w:rFonts w:asciiTheme="minorHAnsi" w:hAnsiTheme="minorHAnsi"/>
    </w:rPr>
  </w:style>
  <w:style w:type="paragraph" w:styleId="FootnoteText">
    <w:name w:val="footnote text"/>
    <w:link w:val="FootnoteTextChar"/>
    <w:uiPriority w:val="39"/>
    <w:semiHidden/>
    <w:rsid w:val="00C112B8"/>
    <w:pPr>
      <w:spacing w:line="192" w:lineRule="atLeast"/>
    </w:pPr>
    <w:rPr>
      <w:rFonts w:asciiTheme="minorHAnsi" w:hAnsiTheme="minorHAnsi"/>
      <w:i/>
      <w:color w:val="787878" w:themeColor="text2"/>
      <w:sz w:val="16"/>
    </w:rPr>
  </w:style>
  <w:style w:type="character" w:customStyle="1" w:styleId="FootnoteTextChar">
    <w:name w:val="Footnote Text Char"/>
    <w:basedOn w:val="DefaultParagraphFont"/>
    <w:link w:val="FootnoteText"/>
    <w:uiPriority w:val="39"/>
    <w:semiHidden/>
    <w:rsid w:val="00C421D3"/>
    <w:rPr>
      <w:rFonts w:asciiTheme="minorHAnsi" w:hAnsiTheme="minorHAnsi"/>
      <w:i/>
      <w:color w:val="787878" w:themeColor="text2"/>
      <w:sz w:val="16"/>
    </w:rPr>
  </w:style>
  <w:style w:type="paragraph" w:styleId="Quote">
    <w:name w:val="Quote"/>
    <w:basedOn w:val="BodyCopy"/>
    <w:next w:val="BodyCopy"/>
    <w:link w:val="QuoteChar"/>
    <w:qFormat/>
    <w:rsid w:val="00864F14"/>
    <w:pPr>
      <w:ind w:left="284" w:right="284"/>
    </w:pPr>
    <w:rPr>
      <w:rFonts w:ascii="Times New Roman" w:hAnsi="Times New Roman"/>
      <w:i/>
      <w:iCs/>
      <w:sz w:val="20"/>
    </w:rPr>
  </w:style>
  <w:style w:type="character" w:customStyle="1" w:styleId="QuoteChar">
    <w:name w:val="Quote Char"/>
    <w:basedOn w:val="DefaultParagraphFont"/>
    <w:link w:val="Quote"/>
    <w:rsid w:val="00864F14"/>
    <w:rPr>
      <w:rFonts w:ascii="Times New Roman" w:hAnsi="Times New Roman"/>
      <w:i/>
      <w:iCs/>
      <w:color w:val="000000" w:themeColor="text1"/>
      <w:spacing w:val="-2"/>
    </w:rPr>
  </w:style>
  <w:style w:type="paragraph" w:styleId="TableofFigures">
    <w:name w:val="table of figures"/>
    <w:uiPriority w:val="99"/>
    <w:semiHidden/>
    <w:rsid w:val="00EA0724"/>
    <w:rPr>
      <w:rFonts w:asciiTheme="minorHAnsi" w:hAnsiTheme="minorHAnsi"/>
    </w:rPr>
  </w:style>
  <w:style w:type="paragraph" w:styleId="TOC1">
    <w:name w:val="toc 1"/>
    <w:uiPriority w:val="39"/>
    <w:rsid w:val="00CB1ECD"/>
    <w:pPr>
      <w:tabs>
        <w:tab w:val="center" w:pos="6804"/>
      </w:tabs>
      <w:spacing w:after="180" w:line="280" w:lineRule="atLeast"/>
      <w:ind w:left="397" w:right="1021"/>
      <w:contextualSpacing/>
    </w:pPr>
    <w:rPr>
      <w:rFonts w:asciiTheme="majorHAnsi" w:hAnsiTheme="majorHAnsi"/>
      <w:caps/>
      <w:color w:val="000000" w:themeColor="text1"/>
      <w:spacing w:val="-2"/>
      <w:sz w:val="22"/>
    </w:rPr>
  </w:style>
  <w:style w:type="paragraph" w:styleId="TOC2">
    <w:name w:val="toc 2"/>
    <w:uiPriority w:val="39"/>
    <w:rsid w:val="0006110C"/>
    <w:pPr>
      <w:tabs>
        <w:tab w:val="left" w:pos="397"/>
        <w:tab w:val="center" w:pos="6804"/>
      </w:tabs>
      <w:spacing w:before="180" w:line="360" w:lineRule="atLeast"/>
      <w:ind w:left="397" w:right="1021" w:hanging="397"/>
    </w:pPr>
    <w:rPr>
      <w:rFonts w:asciiTheme="majorHAnsi" w:hAnsiTheme="majorHAnsi"/>
      <w:caps/>
      <w:color w:val="000000" w:themeColor="text1"/>
      <w:spacing w:val="-2"/>
      <w:sz w:val="28"/>
      <w:u w:val="single"/>
    </w:rPr>
  </w:style>
  <w:style w:type="paragraph" w:styleId="TOC3">
    <w:name w:val="toc 3"/>
    <w:uiPriority w:val="39"/>
    <w:rsid w:val="0006110C"/>
    <w:pPr>
      <w:tabs>
        <w:tab w:val="left" w:pos="964"/>
        <w:tab w:val="center" w:pos="6804"/>
      </w:tabs>
      <w:spacing w:before="80" w:line="280" w:lineRule="atLeast"/>
      <w:ind w:left="1361" w:right="1021" w:hanging="964"/>
      <w:contextualSpacing/>
    </w:pPr>
    <w:rPr>
      <w:rFonts w:ascii="Franklin Gothic Demi" w:hAnsi="Franklin Gothic Demi"/>
      <w:caps/>
      <w:color w:val="000000" w:themeColor="text1"/>
    </w:rPr>
  </w:style>
  <w:style w:type="paragraph" w:styleId="TOCHeading">
    <w:name w:val="TOC Heading"/>
    <w:basedOn w:val="Heading1"/>
    <w:next w:val="BodyText"/>
    <w:uiPriority w:val="99"/>
    <w:semiHidden/>
    <w:qFormat/>
    <w:rsid w:val="00EA0724"/>
    <w:pPr>
      <w:framePr w:wrap="around" w:hAnchor="text"/>
      <w:outlineLvl w:val="9"/>
    </w:pPr>
  </w:style>
  <w:style w:type="character" w:customStyle="1" w:styleId="Heading5Char">
    <w:name w:val="Heading 5 Char"/>
    <w:basedOn w:val="DefaultParagraphFont"/>
    <w:link w:val="Heading5"/>
    <w:uiPriority w:val="5"/>
    <w:semiHidden/>
    <w:rsid w:val="00D501A0"/>
    <w:rPr>
      <w:rFonts w:asciiTheme="majorHAnsi" w:eastAsiaTheme="majorEastAsia" w:hAnsiTheme="majorHAnsi" w:cstheme="majorBidi"/>
      <w:color w:val="7F7800" w:themeColor="accent1" w:themeShade="7F"/>
    </w:rPr>
  </w:style>
  <w:style w:type="character" w:customStyle="1" w:styleId="Heading6Char">
    <w:name w:val="Heading 6 Char"/>
    <w:basedOn w:val="DefaultParagraphFont"/>
    <w:link w:val="Heading6"/>
    <w:uiPriority w:val="5"/>
    <w:semiHidden/>
    <w:rsid w:val="00D501A0"/>
    <w:rPr>
      <w:rFonts w:asciiTheme="majorHAnsi" w:eastAsiaTheme="majorEastAsia" w:hAnsiTheme="majorHAnsi" w:cstheme="majorBidi"/>
      <w:i/>
      <w:iCs/>
      <w:color w:val="7F7800" w:themeColor="accent1" w:themeShade="7F"/>
    </w:rPr>
  </w:style>
  <w:style w:type="character" w:customStyle="1" w:styleId="Heading7Char">
    <w:name w:val="Heading 7 Char"/>
    <w:basedOn w:val="DefaultParagraphFont"/>
    <w:link w:val="Heading7"/>
    <w:uiPriority w:val="5"/>
    <w:semiHidden/>
    <w:rsid w:val="00D501A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5"/>
    <w:semiHidden/>
    <w:rsid w:val="00D501A0"/>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5"/>
    <w:semiHidden/>
    <w:rsid w:val="00D501A0"/>
    <w:rPr>
      <w:rFonts w:asciiTheme="majorHAnsi" w:eastAsiaTheme="majorEastAsia" w:hAnsiTheme="majorHAnsi" w:cstheme="majorBidi"/>
      <w:iCs/>
      <w:caps/>
      <w:color w:val="000000" w:themeColor="text1"/>
      <w:spacing w:val="-3"/>
      <w:sz w:val="28"/>
    </w:rPr>
  </w:style>
  <w:style w:type="numbering" w:customStyle="1" w:styleId="Headings">
    <w:name w:val="Headings"/>
    <w:basedOn w:val="NoList"/>
    <w:uiPriority w:val="99"/>
    <w:rsid w:val="004368EB"/>
    <w:pPr>
      <w:numPr>
        <w:numId w:val="1"/>
      </w:numPr>
    </w:pPr>
  </w:style>
  <w:style w:type="paragraph" w:customStyle="1" w:styleId="Bullets2">
    <w:name w:val="Bullets 2"/>
    <w:basedOn w:val="Bullets1"/>
    <w:qFormat/>
    <w:rsid w:val="00C112B8"/>
    <w:pPr>
      <w:numPr>
        <w:ilvl w:val="1"/>
      </w:numPr>
    </w:pPr>
  </w:style>
  <w:style w:type="paragraph" w:customStyle="1" w:styleId="BodyCopy">
    <w:name w:val="Body Copy"/>
    <w:link w:val="BodyCopyChar"/>
    <w:qFormat/>
    <w:rsid w:val="009A0FEB"/>
    <w:pPr>
      <w:spacing w:before="85" w:after="85" w:line="264" w:lineRule="atLeast"/>
    </w:pPr>
    <w:rPr>
      <w:rFonts w:asciiTheme="minorHAnsi" w:hAnsiTheme="minorHAnsi"/>
      <w:color w:val="000000" w:themeColor="text1"/>
      <w:spacing w:val="-2"/>
      <w:sz w:val="22"/>
    </w:rPr>
  </w:style>
  <w:style w:type="character" w:styleId="FootnoteReference">
    <w:name w:val="footnote reference"/>
    <w:basedOn w:val="DefaultParagraphFont"/>
    <w:uiPriority w:val="99"/>
    <w:semiHidden/>
    <w:rsid w:val="008D0D2B"/>
    <w:rPr>
      <w:vertAlign w:val="superscript"/>
    </w:rPr>
  </w:style>
  <w:style w:type="numbering" w:customStyle="1" w:styleId="Bullets">
    <w:name w:val="Bullets"/>
    <w:basedOn w:val="NoList"/>
    <w:uiPriority w:val="99"/>
    <w:rsid w:val="009A31B4"/>
    <w:pPr>
      <w:numPr>
        <w:numId w:val="2"/>
      </w:numPr>
    </w:pPr>
  </w:style>
  <w:style w:type="paragraph" w:customStyle="1" w:styleId="Bullets1">
    <w:name w:val="Bullets 1"/>
    <w:basedOn w:val="BodyCopy"/>
    <w:qFormat/>
    <w:rsid w:val="009A31B4"/>
    <w:pPr>
      <w:numPr>
        <w:numId w:val="2"/>
      </w:numPr>
      <w:spacing w:before="20" w:after="20"/>
    </w:pPr>
  </w:style>
  <w:style w:type="numbering" w:customStyle="1" w:styleId="Numbers">
    <w:name w:val="Numbers"/>
    <w:basedOn w:val="Bullets"/>
    <w:uiPriority w:val="99"/>
    <w:rsid w:val="00EB2EBC"/>
    <w:pPr>
      <w:numPr>
        <w:numId w:val="3"/>
      </w:numPr>
    </w:pPr>
  </w:style>
  <w:style w:type="paragraph" w:customStyle="1" w:styleId="Numbers1">
    <w:name w:val="Numbers 1"/>
    <w:basedOn w:val="Bullets1"/>
    <w:qFormat/>
    <w:rsid w:val="008B2020"/>
    <w:pPr>
      <w:numPr>
        <w:numId w:val="13"/>
      </w:numPr>
    </w:pPr>
  </w:style>
  <w:style w:type="table" w:customStyle="1" w:styleId="HMATable">
    <w:name w:val="HMA Table"/>
    <w:basedOn w:val="TableNormal"/>
    <w:uiPriority w:val="99"/>
    <w:rsid w:val="00FD7C01"/>
    <w:tblPr>
      <w:tblBorders>
        <w:top w:val="single" w:sz="4" w:space="0" w:color="4B4B4B" w:themeColor="accent2"/>
        <w:left w:val="single" w:sz="4" w:space="0" w:color="FFFFFF" w:themeColor="background1"/>
        <w:bottom w:val="single" w:sz="4" w:space="0" w:color="4B4B4B" w:themeColor="accent2"/>
        <w:right w:val="single" w:sz="4" w:space="0" w:color="FFFFFF" w:themeColor="background1"/>
        <w:insideH w:val="single" w:sz="4" w:space="0" w:color="4B4B4B" w:themeColor="accent2"/>
        <w:insideV w:val="single" w:sz="4" w:space="0" w:color="FFFFFF" w:themeColor="background1"/>
      </w:tblBorders>
      <w:tblCellMar>
        <w:left w:w="0" w:type="dxa"/>
        <w:right w:w="0" w:type="dxa"/>
      </w:tblCellMar>
    </w:tblPr>
    <w:tcPr>
      <w:shd w:val="clear" w:color="auto" w:fill="F2F2F2" w:themeFill="accent5" w:themeFillTint="33"/>
    </w:tcPr>
    <w:tblStylePr w:type="firstRow">
      <w:rPr>
        <w:rFonts w:asciiTheme="majorHAnsi" w:hAnsiTheme="majorHAnsi"/>
        <w:b w:val="0"/>
      </w:rPr>
      <w:tblPr/>
      <w:tcPr>
        <w:shd w:val="clear" w:color="auto" w:fill="BEBEBE" w:themeFill="accent5"/>
      </w:tcPr>
    </w:tblStylePr>
    <w:tblStylePr w:type="lastRow">
      <w:rPr>
        <w:rFonts w:asciiTheme="minorHAnsi" w:hAnsiTheme="minorHAnsi"/>
        <w:b/>
      </w:rPr>
    </w:tblStylePr>
    <w:tblStylePr w:type="firstCol">
      <w:rPr>
        <w:rFonts w:asciiTheme="minorHAnsi" w:hAnsiTheme="minorHAnsi"/>
        <w:b/>
      </w:rPr>
    </w:tblStylePr>
    <w:tblStylePr w:type="neCell">
      <w:rPr>
        <w:b w:val="0"/>
      </w:rPr>
    </w:tblStylePr>
    <w:tblStylePr w:type="nwCell">
      <w:rPr>
        <w:b w:val="0"/>
      </w:rPr>
    </w:tblStylePr>
  </w:style>
  <w:style w:type="paragraph" w:customStyle="1" w:styleId="SectionTitle">
    <w:name w:val="Section Title"/>
    <w:basedOn w:val="BodyCopy"/>
    <w:next w:val="BodyCopy"/>
    <w:uiPriority w:val="5"/>
    <w:qFormat/>
    <w:rsid w:val="00025161"/>
    <w:pPr>
      <w:numPr>
        <w:numId w:val="4"/>
      </w:numPr>
      <w:shd w:val="clear" w:color="auto" w:fill="FFF200" w:themeFill="background2"/>
      <w:spacing w:before="520" w:line="384" w:lineRule="atLeast"/>
    </w:pPr>
    <w:rPr>
      <w:rFonts w:asciiTheme="majorHAnsi" w:hAnsiTheme="majorHAnsi"/>
      <w:caps/>
      <w:sz w:val="32"/>
    </w:rPr>
  </w:style>
  <w:style w:type="numbering" w:customStyle="1" w:styleId="Sections">
    <w:name w:val="Sections"/>
    <w:basedOn w:val="NoList"/>
    <w:uiPriority w:val="99"/>
    <w:rsid w:val="001C4582"/>
    <w:pPr>
      <w:numPr>
        <w:numId w:val="4"/>
      </w:numPr>
    </w:pPr>
  </w:style>
  <w:style w:type="paragraph" w:customStyle="1" w:styleId="TableColumnHeading">
    <w:name w:val="Table Column Heading"/>
    <w:uiPriority w:val="17"/>
    <w:qFormat/>
    <w:rsid w:val="001C6726"/>
    <w:pPr>
      <w:keepNext/>
      <w:spacing w:line="264" w:lineRule="atLeast"/>
      <w:ind w:left="57" w:right="57"/>
    </w:pPr>
    <w:rPr>
      <w:rFonts w:asciiTheme="majorHAnsi" w:hAnsiTheme="majorHAnsi"/>
      <w:color w:val="000000" w:themeColor="text1"/>
      <w:spacing w:val="-2"/>
      <w:sz w:val="22"/>
    </w:rPr>
  </w:style>
  <w:style w:type="character" w:customStyle="1" w:styleId="Superscript">
    <w:name w:val="Superscript"/>
    <w:basedOn w:val="DefaultParagraphFont"/>
    <w:uiPriority w:val="22"/>
    <w:qFormat/>
    <w:rsid w:val="000D33DC"/>
    <w:rPr>
      <w:vertAlign w:val="superscript"/>
    </w:rPr>
  </w:style>
  <w:style w:type="paragraph" w:customStyle="1" w:styleId="TableCopy">
    <w:name w:val="Table Copy"/>
    <w:uiPriority w:val="14"/>
    <w:qFormat/>
    <w:rsid w:val="00C21AEA"/>
    <w:pPr>
      <w:spacing w:line="240" w:lineRule="atLeast"/>
      <w:ind w:left="57" w:right="57"/>
    </w:pPr>
    <w:rPr>
      <w:rFonts w:ascii="Garamond" w:hAnsi="Garamond"/>
      <w:color w:val="000000" w:themeColor="text1"/>
      <w:spacing w:val="-2"/>
    </w:rPr>
  </w:style>
  <w:style w:type="paragraph" w:customStyle="1" w:styleId="RecommendationsTableHeading">
    <w:name w:val="Recommendations Table Heading"/>
    <w:basedOn w:val="KeyFindingsTableHeading"/>
    <w:uiPriority w:val="21"/>
    <w:rsid w:val="00011EE6"/>
    <w:pPr>
      <w:spacing w:line="216" w:lineRule="atLeast"/>
    </w:pPr>
  </w:style>
  <w:style w:type="paragraph" w:customStyle="1" w:styleId="TableNotes">
    <w:name w:val="Table Notes"/>
    <w:basedOn w:val="BodyCopy"/>
    <w:uiPriority w:val="21"/>
    <w:qFormat/>
    <w:rsid w:val="00B043A1"/>
    <w:pPr>
      <w:tabs>
        <w:tab w:val="left" w:pos="227"/>
      </w:tabs>
      <w:spacing w:after="170" w:line="158" w:lineRule="atLeast"/>
      <w:contextualSpacing/>
    </w:pPr>
    <w:rPr>
      <w:i/>
      <w:sz w:val="14"/>
    </w:rPr>
  </w:style>
  <w:style w:type="paragraph" w:customStyle="1" w:styleId="MissionStatementHeading">
    <w:name w:val="Mission Statement Heading"/>
    <w:uiPriority w:val="24"/>
    <w:rsid w:val="0059017D"/>
    <w:pPr>
      <w:framePr w:hSpace="181" w:wrap="notBeside" w:vAnchor="text" w:hAnchor="margin" w:y="6096"/>
      <w:spacing w:after="480" w:line="480" w:lineRule="exact"/>
    </w:pPr>
    <w:rPr>
      <w:rFonts w:ascii="Franklin Gothic Book" w:hAnsi="Franklin Gothic Book"/>
      <w:color w:val="787878" w:themeColor="text2"/>
      <w:sz w:val="48"/>
      <w:u w:val="single"/>
    </w:rPr>
  </w:style>
  <w:style w:type="paragraph" w:customStyle="1" w:styleId="MissionStatementBody">
    <w:name w:val="Mission Statement Body"/>
    <w:next w:val="BodyCopy"/>
    <w:uiPriority w:val="24"/>
    <w:rsid w:val="0059017D"/>
    <w:pPr>
      <w:framePr w:wrap="notBeside" w:vAnchor="text" w:hAnchor="text" w:y="1"/>
      <w:spacing w:line="540" w:lineRule="exact"/>
    </w:pPr>
    <w:rPr>
      <w:rFonts w:ascii="Franklin Gothic Book" w:hAnsi="Franklin Gothic Book"/>
      <w:i/>
      <w:color w:val="787878" w:themeColor="text2"/>
      <w:sz w:val="48"/>
    </w:rPr>
  </w:style>
  <w:style w:type="character" w:customStyle="1" w:styleId="BodyCopyChar">
    <w:name w:val="Body Copy Char"/>
    <w:basedOn w:val="DefaultParagraphFont"/>
    <w:link w:val="BodyCopy"/>
    <w:rsid w:val="009A0FEB"/>
    <w:rPr>
      <w:rFonts w:asciiTheme="minorHAnsi" w:hAnsiTheme="minorHAnsi"/>
      <w:color w:val="000000" w:themeColor="text1"/>
      <w:spacing w:val="-2"/>
      <w:sz w:val="22"/>
    </w:rPr>
  </w:style>
  <w:style w:type="character" w:styleId="PlaceholderText">
    <w:name w:val="Placeholder Text"/>
    <w:basedOn w:val="DefaultParagraphFont"/>
    <w:uiPriority w:val="99"/>
    <w:semiHidden/>
    <w:rsid w:val="00374EA0"/>
    <w:rPr>
      <w:color w:val="808080"/>
    </w:rPr>
  </w:style>
  <w:style w:type="paragraph" w:customStyle="1" w:styleId="DocumentInfo">
    <w:name w:val="Document Info"/>
    <w:link w:val="DocumentInfoChar"/>
    <w:uiPriority w:val="34"/>
    <w:rsid w:val="00B35E6C"/>
    <w:pPr>
      <w:spacing w:line="288" w:lineRule="exact"/>
    </w:pPr>
    <w:rPr>
      <w:rFonts w:asciiTheme="majorHAnsi" w:hAnsiTheme="majorHAnsi"/>
      <w:caps/>
      <w:color w:val="000000" w:themeColor="text1"/>
      <w:spacing w:val="-2"/>
      <w:sz w:val="24"/>
    </w:rPr>
  </w:style>
  <w:style w:type="character" w:customStyle="1" w:styleId="DocumentInfoChar">
    <w:name w:val="Document Info Char"/>
    <w:basedOn w:val="DefaultParagraphFont"/>
    <w:link w:val="DocumentInfo"/>
    <w:uiPriority w:val="34"/>
    <w:rsid w:val="00B35E6C"/>
    <w:rPr>
      <w:rFonts w:asciiTheme="majorHAnsi" w:hAnsiTheme="majorHAnsi"/>
      <w:caps/>
      <w:color w:val="000000" w:themeColor="text1"/>
      <w:spacing w:val="-2"/>
      <w:sz w:val="24"/>
    </w:rPr>
  </w:style>
  <w:style w:type="paragraph" w:customStyle="1" w:styleId="DocumentTitle">
    <w:name w:val="Document Title"/>
    <w:link w:val="DocumentTitleChar"/>
    <w:uiPriority w:val="34"/>
    <w:rsid w:val="00E46EE9"/>
    <w:pPr>
      <w:spacing w:after="284" w:line="432" w:lineRule="exact"/>
    </w:pPr>
    <w:rPr>
      <w:rFonts w:ascii="Franklin Gothic Demi" w:hAnsi="Franklin Gothic Demi"/>
      <w:color w:val="000000" w:themeColor="text1"/>
      <w:spacing w:val="-4"/>
      <w:sz w:val="36"/>
    </w:rPr>
  </w:style>
  <w:style w:type="character" w:customStyle="1" w:styleId="DocumentTitleChar">
    <w:name w:val="Document Title Char"/>
    <w:basedOn w:val="DefaultParagraphFont"/>
    <w:link w:val="DocumentTitle"/>
    <w:uiPriority w:val="34"/>
    <w:rsid w:val="00E46EE9"/>
    <w:rPr>
      <w:rFonts w:ascii="Franklin Gothic Demi" w:hAnsi="Franklin Gothic Demi"/>
      <w:color w:val="000000" w:themeColor="text1"/>
      <w:spacing w:val="-4"/>
      <w:sz w:val="36"/>
    </w:rPr>
  </w:style>
  <w:style w:type="paragraph" w:customStyle="1" w:styleId="DocumentPublishDate">
    <w:name w:val="Document Publish Date"/>
    <w:next w:val="BodyCopy"/>
    <w:link w:val="DocumentPublishDateChar"/>
    <w:uiPriority w:val="35"/>
    <w:rsid w:val="00B35E6C"/>
    <w:pPr>
      <w:spacing w:line="264" w:lineRule="exact"/>
    </w:pPr>
    <w:rPr>
      <w:rFonts w:asciiTheme="minorHAnsi" w:hAnsiTheme="minorHAnsi"/>
      <w:caps/>
      <w:color w:val="000000" w:themeColor="text1"/>
      <w:spacing w:val="-2"/>
      <w:sz w:val="22"/>
    </w:rPr>
  </w:style>
  <w:style w:type="character" w:customStyle="1" w:styleId="DocumentPublishDateChar">
    <w:name w:val="Document Publish Date Char"/>
    <w:basedOn w:val="DefaultParagraphFont"/>
    <w:link w:val="DocumentPublishDate"/>
    <w:uiPriority w:val="35"/>
    <w:rsid w:val="00B35E6C"/>
    <w:rPr>
      <w:rFonts w:asciiTheme="minorHAnsi" w:hAnsiTheme="minorHAnsi"/>
      <w:caps/>
      <w:color w:val="000000" w:themeColor="text1"/>
      <w:spacing w:val="-2"/>
      <w:sz w:val="22"/>
    </w:rPr>
  </w:style>
  <w:style w:type="paragraph" w:customStyle="1" w:styleId="HeaderText">
    <w:name w:val="Header Text"/>
    <w:next w:val="BodyCopy"/>
    <w:link w:val="HeaderTextChar"/>
    <w:uiPriority w:val="34"/>
    <w:semiHidden/>
    <w:qFormat/>
    <w:rsid w:val="005A79CB"/>
    <w:pPr>
      <w:spacing w:line="144" w:lineRule="exact"/>
    </w:pPr>
    <w:rPr>
      <w:rFonts w:ascii="Franklin Gothic Demi" w:hAnsi="Franklin Gothic Demi"/>
      <w:caps/>
      <w:color w:val="000000" w:themeColor="text1"/>
      <w:spacing w:val="-2"/>
      <w:sz w:val="12"/>
    </w:rPr>
  </w:style>
  <w:style w:type="character" w:customStyle="1" w:styleId="HeaderTextChar">
    <w:name w:val="Header Text Char"/>
    <w:basedOn w:val="DefaultParagraphFont"/>
    <w:link w:val="HeaderText"/>
    <w:uiPriority w:val="34"/>
    <w:semiHidden/>
    <w:rsid w:val="00C421D3"/>
    <w:rPr>
      <w:rFonts w:ascii="Franklin Gothic Demi" w:hAnsi="Franklin Gothic Demi"/>
      <w:caps/>
      <w:color w:val="000000" w:themeColor="text1"/>
      <w:spacing w:val="-2"/>
      <w:sz w:val="12"/>
    </w:rPr>
  </w:style>
  <w:style w:type="paragraph" w:customStyle="1" w:styleId="HeaderSecondaryText">
    <w:name w:val="Header Secondary Text"/>
    <w:link w:val="HeaderSecondaryTextChar"/>
    <w:uiPriority w:val="34"/>
    <w:semiHidden/>
    <w:qFormat/>
    <w:rsid w:val="005A79CB"/>
    <w:pPr>
      <w:spacing w:line="144" w:lineRule="exact"/>
    </w:pPr>
    <w:rPr>
      <w:rFonts w:asciiTheme="majorHAnsi" w:eastAsiaTheme="majorEastAsia" w:hAnsiTheme="majorHAnsi" w:cstheme="majorBidi"/>
      <w:bCs/>
      <w:iCs/>
      <w:color w:val="787878" w:themeColor="text2"/>
      <w:spacing w:val="-3"/>
      <w:sz w:val="12"/>
    </w:rPr>
  </w:style>
  <w:style w:type="character" w:customStyle="1" w:styleId="HeaderSecondaryTextChar">
    <w:name w:val="Header Secondary Text Char"/>
    <w:basedOn w:val="DefaultParagraphFont"/>
    <w:link w:val="HeaderSecondaryText"/>
    <w:uiPriority w:val="34"/>
    <w:semiHidden/>
    <w:rsid w:val="00C421D3"/>
    <w:rPr>
      <w:rFonts w:asciiTheme="majorHAnsi" w:eastAsiaTheme="majorEastAsia" w:hAnsiTheme="majorHAnsi" w:cstheme="majorBidi"/>
      <w:bCs/>
      <w:iCs/>
      <w:color w:val="787878" w:themeColor="text2"/>
      <w:spacing w:val="-3"/>
      <w:sz w:val="12"/>
    </w:rPr>
  </w:style>
  <w:style w:type="paragraph" w:customStyle="1" w:styleId="PullQuote">
    <w:name w:val="Pull Quote"/>
    <w:next w:val="BodyCopy"/>
    <w:link w:val="PullQuoteChar"/>
    <w:uiPriority w:val="24"/>
    <w:qFormat/>
    <w:rsid w:val="00520329"/>
    <w:pPr>
      <w:pageBreakBefore/>
      <w:spacing w:after="440" w:line="672" w:lineRule="exact"/>
    </w:pPr>
    <w:rPr>
      <w:rFonts w:asciiTheme="majorHAnsi" w:hAnsiTheme="majorHAnsi"/>
      <w:color w:val="787878" w:themeColor="text2"/>
      <w:spacing w:val="-6"/>
      <w:sz w:val="56"/>
    </w:rPr>
  </w:style>
  <w:style w:type="character" w:customStyle="1" w:styleId="PullQuoteChar">
    <w:name w:val="Pull Quote Char"/>
    <w:basedOn w:val="DefaultParagraphFont"/>
    <w:link w:val="PullQuote"/>
    <w:uiPriority w:val="24"/>
    <w:rsid w:val="00C421D3"/>
    <w:rPr>
      <w:rFonts w:asciiTheme="majorHAnsi" w:hAnsiTheme="majorHAnsi"/>
      <w:color w:val="787878" w:themeColor="text2"/>
      <w:spacing w:val="-6"/>
      <w:sz w:val="56"/>
    </w:rPr>
  </w:style>
  <w:style w:type="paragraph" w:customStyle="1" w:styleId="PullQuoteReference">
    <w:name w:val="Pull Quote Reference"/>
    <w:next w:val="BodyCopy"/>
    <w:link w:val="PullQuoteReferenceChar"/>
    <w:uiPriority w:val="24"/>
    <w:qFormat/>
    <w:rsid w:val="00C02911"/>
    <w:pPr>
      <w:spacing w:line="288" w:lineRule="atLeast"/>
    </w:pPr>
    <w:rPr>
      <w:rFonts w:asciiTheme="minorHAnsi" w:hAnsiTheme="minorHAnsi"/>
      <w:i/>
      <w:color w:val="787878" w:themeColor="text2"/>
      <w:spacing w:val="-2"/>
      <w:sz w:val="24"/>
    </w:rPr>
  </w:style>
  <w:style w:type="character" w:customStyle="1" w:styleId="PullQuoteReferenceChar">
    <w:name w:val="Pull Quote Reference Char"/>
    <w:basedOn w:val="DefaultParagraphFont"/>
    <w:link w:val="PullQuoteReference"/>
    <w:uiPriority w:val="24"/>
    <w:rsid w:val="00C421D3"/>
    <w:rPr>
      <w:rFonts w:asciiTheme="minorHAnsi" w:hAnsiTheme="minorHAnsi"/>
      <w:i/>
      <w:color w:val="787878" w:themeColor="text2"/>
      <w:spacing w:val="-2"/>
      <w:sz w:val="24"/>
    </w:rPr>
  </w:style>
  <w:style w:type="paragraph" w:customStyle="1" w:styleId="BoxHeading">
    <w:name w:val="Box Heading"/>
    <w:basedOn w:val="TableColumnHeading"/>
    <w:next w:val="BoxCopy"/>
    <w:uiPriority w:val="23"/>
    <w:qFormat/>
    <w:rsid w:val="004862A6"/>
    <w:pPr>
      <w:spacing w:before="113" w:after="60" w:line="288" w:lineRule="atLeast"/>
      <w:ind w:left="0" w:right="0"/>
    </w:pPr>
    <w:rPr>
      <w:sz w:val="24"/>
    </w:rPr>
  </w:style>
  <w:style w:type="paragraph" w:customStyle="1" w:styleId="BoxCopy">
    <w:name w:val="Box Copy"/>
    <w:basedOn w:val="TableCopy"/>
    <w:uiPriority w:val="23"/>
    <w:qFormat/>
    <w:rsid w:val="004862A6"/>
    <w:pPr>
      <w:spacing w:before="60" w:after="60"/>
      <w:ind w:left="0" w:right="0"/>
    </w:pPr>
  </w:style>
  <w:style w:type="paragraph" w:customStyle="1" w:styleId="SectionPageTitle">
    <w:name w:val="Section Page Title"/>
    <w:next w:val="BodyCopy"/>
    <w:link w:val="SectionPageTitleChar"/>
    <w:uiPriority w:val="24"/>
    <w:qFormat/>
    <w:rsid w:val="006403A1"/>
    <w:pPr>
      <w:numPr>
        <w:numId w:val="7"/>
      </w:numPr>
      <w:tabs>
        <w:tab w:val="left" w:pos="7513"/>
      </w:tabs>
      <w:spacing w:line="624" w:lineRule="atLeast"/>
      <w:ind w:left="7513" w:hanging="7513"/>
    </w:pPr>
    <w:rPr>
      <w:rFonts w:ascii="Franklin Gothic Book" w:hAnsi="Franklin Gothic Book"/>
      <w:caps/>
      <w:color w:val="787878" w:themeColor="text2"/>
      <w:sz w:val="52"/>
      <w:u w:val="single"/>
    </w:rPr>
  </w:style>
  <w:style w:type="character" w:customStyle="1" w:styleId="SectionPageTitleChar">
    <w:name w:val="Section Page Title Char"/>
    <w:basedOn w:val="DefaultParagraphFont"/>
    <w:link w:val="SectionPageTitle"/>
    <w:uiPriority w:val="24"/>
    <w:rsid w:val="006403A1"/>
    <w:rPr>
      <w:rFonts w:ascii="Franklin Gothic Book" w:hAnsi="Franklin Gothic Book"/>
      <w:caps/>
      <w:color w:val="787878" w:themeColor="text2"/>
      <w:sz w:val="52"/>
      <w:u w:val="single"/>
    </w:rPr>
  </w:style>
  <w:style w:type="numbering" w:customStyle="1" w:styleId="TableBullets">
    <w:name w:val="Table Bullets"/>
    <w:basedOn w:val="NoList"/>
    <w:uiPriority w:val="99"/>
    <w:rsid w:val="00EA7DE0"/>
    <w:pPr>
      <w:numPr>
        <w:numId w:val="5"/>
      </w:numPr>
    </w:pPr>
  </w:style>
  <w:style w:type="paragraph" w:styleId="TOC5">
    <w:name w:val="toc 5"/>
    <w:basedOn w:val="TOC1"/>
    <w:next w:val="BodyCopy"/>
    <w:uiPriority w:val="39"/>
    <w:rsid w:val="00FD4544"/>
    <w:pPr>
      <w:tabs>
        <w:tab w:val="left" w:pos="794"/>
      </w:tabs>
      <w:spacing w:before="240" w:after="240"/>
      <w:ind w:left="1361" w:hanging="1361"/>
      <w:contextualSpacing w:val="0"/>
    </w:pPr>
    <w:rPr>
      <w:sz w:val="36"/>
    </w:rPr>
  </w:style>
  <w:style w:type="table" w:customStyle="1" w:styleId="AbbreviationsTable">
    <w:name w:val="Abbreviations Table"/>
    <w:basedOn w:val="TableGrid"/>
    <w:uiPriority w:val="99"/>
    <w:rsid w:val="00443359"/>
    <w:tblPr>
      <w:tblStyleColBandSize w:val="1"/>
      <w:tblBorders>
        <w:top w:val="single" w:sz="4" w:space="0" w:color="000000" w:themeColor="text1"/>
        <w:bottom w:val="single" w:sz="4" w:space="0" w:color="000000" w:themeColor="text1"/>
        <w:insideH w:val="single" w:sz="4" w:space="0" w:color="000000" w:themeColor="text1"/>
      </w:tblBorders>
    </w:tblPr>
    <w:tcPr>
      <w:vAlign w:val="center"/>
    </w:tcPr>
    <w:tblStylePr w:type="firstCol">
      <w:tblPr/>
      <w:tcPr>
        <w:tcBorders>
          <w:right w:val="single" w:sz="48" w:space="0" w:color="FFFFFF" w:themeColor="background1"/>
        </w:tcBorders>
      </w:tcPr>
    </w:tblStylePr>
    <w:tblStylePr w:type="lastCol">
      <w:tblPr/>
      <w:tcPr>
        <w:tcBorders>
          <w:insideH w:val="single" w:sz="4" w:space="0" w:color="auto"/>
        </w:tcBorders>
      </w:tcPr>
    </w:tblStylePr>
    <w:tblStylePr w:type="band2Vert">
      <w:tblPr/>
      <w:tcPr>
        <w:tcBorders>
          <w:insideH w:val="single" w:sz="4" w:space="0" w:color="auto"/>
        </w:tcBorders>
      </w:tcPr>
    </w:tblStylePr>
  </w:style>
  <w:style w:type="paragraph" w:customStyle="1" w:styleId="Abbreviations1">
    <w:name w:val="Abbreviations 1"/>
    <w:link w:val="Abbreviations1Char"/>
    <w:uiPriority w:val="24"/>
    <w:rsid w:val="00443359"/>
    <w:pPr>
      <w:spacing w:before="60" w:after="60" w:line="220" w:lineRule="atLeast"/>
    </w:pPr>
    <w:rPr>
      <w:rFonts w:asciiTheme="majorHAnsi" w:hAnsiTheme="majorHAnsi"/>
      <w:color w:val="000000" w:themeColor="text1"/>
      <w:sz w:val="18"/>
    </w:rPr>
  </w:style>
  <w:style w:type="character" w:customStyle="1" w:styleId="Abbreviations1Char">
    <w:name w:val="Abbreviations 1 Char"/>
    <w:basedOn w:val="DefaultParagraphFont"/>
    <w:link w:val="Abbreviations1"/>
    <w:uiPriority w:val="24"/>
    <w:rsid w:val="00443359"/>
    <w:rPr>
      <w:rFonts w:asciiTheme="majorHAnsi" w:hAnsiTheme="majorHAnsi"/>
      <w:color w:val="000000" w:themeColor="text1"/>
      <w:sz w:val="18"/>
    </w:rPr>
  </w:style>
  <w:style w:type="paragraph" w:customStyle="1" w:styleId="Abbreviations2definition">
    <w:name w:val="Abbreviations 2 (definition)"/>
    <w:link w:val="Abbreviations2definitionChar"/>
    <w:uiPriority w:val="24"/>
    <w:rsid w:val="00443359"/>
    <w:pPr>
      <w:spacing w:before="60" w:after="60" w:line="288" w:lineRule="atLeast"/>
      <w:ind w:left="57"/>
    </w:pPr>
    <w:rPr>
      <w:rFonts w:asciiTheme="minorHAnsi" w:hAnsiTheme="minorHAnsi"/>
      <w:color w:val="000000" w:themeColor="text1"/>
      <w:sz w:val="22"/>
    </w:rPr>
  </w:style>
  <w:style w:type="character" w:customStyle="1" w:styleId="Abbreviations2definitionChar">
    <w:name w:val="Abbreviations 2 (definition) Char"/>
    <w:basedOn w:val="DefaultParagraphFont"/>
    <w:link w:val="Abbreviations2definition"/>
    <w:uiPriority w:val="24"/>
    <w:rsid w:val="00443359"/>
    <w:rPr>
      <w:rFonts w:asciiTheme="minorHAnsi" w:hAnsiTheme="minorHAnsi"/>
      <w:color w:val="000000" w:themeColor="text1"/>
      <w:sz w:val="22"/>
    </w:rPr>
  </w:style>
  <w:style w:type="paragraph" w:styleId="TOC4">
    <w:name w:val="toc 4"/>
    <w:next w:val="BodyCopy"/>
    <w:uiPriority w:val="39"/>
    <w:rsid w:val="003C0263"/>
    <w:pPr>
      <w:tabs>
        <w:tab w:val="left" w:pos="1644"/>
        <w:tab w:val="center" w:pos="6804"/>
      </w:tabs>
      <w:spacing w:line="280" w:lineRule="atLeast"/>
      <w:ind w:left="1644" w:right="1021" w:hanging="680"/>
    </w:pPr>
    <w:rPr>
      <w:rFonts w:asciiTheme="majorHAnsi" w:hAnsiTheme="majorHAnsi"/>
      <w:noProof/>
      <w:color w:val="000000" w:themeColor="text1"/>
      <w:spacing w:val="-2"/>
    </w:rPr>
  </w:style>
  <w:style w:type="paragraph" w:customStyle="1" w:styleId="FooterDocumentTitle">
    <w:name w:val="Footer Document Title"/>
    <w:link w:val="FooterDocumentTitleChar"/>
    <w:uiPriority w:val="34"/>
    <w:qFormat/>
    <w:rsid w:val="001040EA"/>
    <w:pPr>
      <w:spacing w:line="168" w:lineRule="exact"/>
      <w:jc w:val="right"/>
    </w:pPr>
    <w:rPr>
      <w:rFonts w:asciiTheme="majorHAnsi" w:hAnsiTheme="majorHAnsi"/>
      <w:color w:val="000000" w:themeColor="text1"/>
      <w:spacing w:val="-2"/>
      <w:sz w:val="14"/>
    </w:rPr>
  </w:style>
  <w:style w:type="character" w:customStyle="1" w:styleId="FooterDocumentTitleChar">
    <w:name w:val="Footer Document Title Char"/>
    <w:basedOn w:val="DefaultParagraphFont"/>
    <w:link w:val="FooterDocumentTitle"/>
    <w:uiPriority w:val="34"/>
    <w:rsid w:val="0002766A"/>
    <w:rPr>
      <w:rFonts w:asciiTheme="majorHAnsi" w:hAnsiTheme="majorHAnsi"/>
      <w:color w:val="000000" w:themeColor="text1"/>
      <w:spacing w:val="-2"/>
      <w:sz w:val="14"/>
    </w:rPr>
  </w:style>
  <w:style w:type="paragraph" w:customStyle="1" w:styleId="FooterProjectTitle">
    <w:name w:val="Footer Project Title"/>
    <w:link w:val="FooterProjectTitleChar"/>
    <w:uiPriority w:val="34"/>
    <w:qFormat/>
    <w:rsid w:val="006D62C5"/>
    <w:pPr>
      <w:spacing w:line="168" w:lineRule="exact"/>
    </w:pPr>
    <w:rPr>
      <w:rFonts w:ascii="Franklin Gothic Demi" w:hAnsi="Franklin Gothic Demi"/>
      <w:color w:val="000000" w:themeColor="text1"/>
      <w:spacing w:val="-2"/>
      <w:sz w:val="14"/>
    </w:rPr>
  </w:style>
  <w:style w:type="character" w:customStyle="1" w:styleId="FooterProjectTitleChar">
    <w:name w:val="Footer Project Title Char"/>
    <w:basedOn w:val="DefaultParagraphFont"/>
    <w:link w:val="FooterProjectTitle"/>
    <w:uiPriority w:val="34"/>
    <w:rsid w:val="006D62C5"/>
    <w:rPr>
      <w:rFonts w:ascii="Franklin Gothic Demi" w:hAnsi="Franklin Gothic Demi"/>
      <w:color w:val="000000" w:themeColor="text1"/>
      <w:spacing w:val="-2"/>
      <w:sz w:val="14"/>
    </w:rPr>
  </w:style>
  <w:style w:type="paragraph" w:customStyle="1" w:styleId="HeaderSectionTitle">
    <w:name w:val="Header Section Title"/>
    <w:link w:val="HeaderSectionTitleChar"/>
    <w:uiPriority w:val="34"/>
    <w:semiHidden/>
    <w:qFormat/>
    <w:rsid w:val="008B1243"/>
    <w:pPr>
      <w:spacing w:after="227" w:line="336" w:lineRule="exact"/>
    </w:pPr>
    <w:rPr>
      <w:rFonts w:asciiTheme="majorHAnsi" w:eastAsiaTheme="majorEastAsia" w:hAnsiTheme="majorHAnsi" w:cstheme="majorBidi"/>
      <w:iCs/>
      <w:caps/>
      <w:noProof/>
      <w:color w:val="000000" w:themeColor="text1"/>
      <w:spacing w:val="-3"/>
      <w:sz w:val="28"/>
    </w:rPr>
  </w:style>
  <w:style w:type="character" w:customStyle="1" w:styleId="HeaderSectionTitleChar">
    <w:name w:val="Header Section Title Char"/>
    <w:basedOn w:val="DefaultParagraphFont"/>
    <w:link w:val="HeaderSectionTitle"/>
    <w:uiPriority w:val="34"/>
    <w:semiHidden/>
    <w:rsid w:val="00C421D3"/>
    <w:rPr>
      <w:rFonts w:asciiTheme="majorHAnsi" w:eastAsiaTheme="majorEastAsia" w:hAnsiTheme="majorHAnsi" w:cstheme="majorBidi"/>
      <w:iCs/>
      <w:caps/>
      <w:noProof/>
      <w:color w:val="000000" w:themeColor="text1"/>
      <w:spacing w:val="-3"/>
      <w:sz w:val="28"/>
    </w:rPr>
  </w:style>
  <w:style w:type="paragraph" w:customStyle="1" w:styleId="TOCTitle">
    <w:name w:val="TOC Title"/>
    <w:basedOn w:val="Normal"/>
    <w:next w:val="BodyCopy"/>
    <w:link w:val="TOCTitleChar"/>
    <w:uiPriority w:val="39"/>
    <w:rsid w:val="00DC7873"/>
    <w:pPr>
      <w:keepNext/>
      <w:keepLines/>
      <w:pageBreakBefore/>
      <w:spacing w:line="560" w:lineRule="exact"/>
    </w:pPr>
    <w:rPr>
      <w:rFonts w:asciiTheme="majorHAnsi" w:eastAsiaTheme="majorEastAsia" w:hAnsiTheme="majorHAnsi" w:cstheme="majorBidi"/>
      <w:b/>
      <w:bCs/>
      <w:caps/>
      <w:spacing w:val="0"/>
      <w:sz w:val="52"/>
      <w:szCs w:val="28"/>
    </w:rPr>
  </w:style>
  <w:style w:type="character" w:customStyle="1" w:styleId="TOCTitleChar">
    <w:name w:val="TOC Title Char"/>
    <w:basedOn w:val="DefaultParagraphFont"/>
    <w:link w:val="TOCTitle"/>
    <w:uiPriority w:val="39"/>
    <w:rsid w:val="00DC7873"/>
    <w:rPr>
      <w:rFonts w:asciiTheme="majorHAnsi" w:eastAsiaTheme="majorEastAsia" w:hAnsiTheme="majorHAnsi" w:cstheme="majorBidi"/>
      <w:b/>
      <w:bCs/>
      <w:caps/>
      <w:color w:val="000000" w:themeColor="text1"/>
      <w:sz w:val="52"/>
      <w:szCs w:val="28"/>
    </w:rPr>
  </w:style>
  <w:style w:type="paragraph" w:customStyle="1" w:styleId="Bullets3">
    <w:name w:val="Bullets 3"/>
    <w:basedOn w:val="Bullets1"/>
    <w:rsid w:val="00C112B8"/>
    <w:pPr>
      <w:numPr>
        <w:ilvl w:val="2"/>
      </w:numPr>
    </w:pPr>
  </w:style>
  <w:style w:type="character" w:customStyle="1" w:styleId="SectionPageDemi">
    <w:name w:val="Section Page Demi"/>
    <w:basedOn w:val="DefaultParagraphFont"/>
    <w:uiPriority w:val="1"/>
    <w:semiHidden/>
    <w:rsid w:val="00350DC1"/>
    <w:rPr>
      <w:rFonts w:ascii="Franklin Gothic Demi" w:hAnsi="Franklin Gothic Demi"/>
      <w:b/>
    </w:rPr>
  </w:style>
  <w:style w:type="paragraph" w:customStyle="1" w:styleId="Bullets4">
    <w:name w:val="Bullets 4"/>
    <w:basedOn w:val="Bullets1"/>
    <w:rsid w:val="00C112B8"/>
    <w:pPr>
      <w:numPr>
        <w:ilvl w:val="3"/>
      </w:numPr>
    </w:pPr>
  </w:style>
  <w:style w:type="paragraph" w:customStyle="1" w:styleId="Numbers2">
    <w:name w:val="Numbers 2"/>
    <w:basedOn w:val="Numbers1"/>
    <w:qFormat/>
    <w:rsid w:val="008B2020"/>
    <w:pPr>
      <w:numPr>
        <w:ilvl w:val="1"/>
      </w:numPr>
    </w:pPr>
  </w:style>
  <w:style w:type="paragraph" w:customStyle="1" w:styleId="Numbers3">
    <w:name w:val="Numbers 3"/>
    <w:basedOn w:val="Numbers1"/>
    <w:rsid w:val="008B2020"/>
    <w:pPr>
      <w:numPr>
        <w:ilvl w:val="2"/>
      </w:numPr>
    </w:pPr>
  </w:style>
  <w:style w:type="paragraph" w:customStyle="1" w:styleId="Numbers4">
    <w:name w:val="Numbers 4"/>
    <w:basedOn w:val="Numbers1"/>
    <w:rsid w:val="008B2020"/>
    <w:pPr>
      <w:numPr>
        <w:ilvl w:val="3"/>
      </w:numPr>
    </w:pPr>
  </w:style>
  <w:style w:type="character" w:styleId="Hyperlink">
    <w:name w:val="Hyperlink"/>
    <w:basedOn w:val="DefaultParagraphFont"/>
    <w:hidden/>
    <w:uiPriority w:val="99"/>
    <w:semiHidden/>
    <w:rsid w:val="002F329E"/>
    <w:rPr>
      <w:color w:val="787878" w:themeColor="hyperlink"/>
      <w:u w:val="single"/>
    </w:rPr>
  </w:style>
  <w:style w:type="paragraph" w:customStyle="1" w:styleId="RecommendationsTableLeftColumn">
    <w:name w:val="Recommendations Table Left Column"/>
    <w:basedOn w:val="KeyFindingsTableLeftColumn"/>
    <w:uiPriority w:val="21"/>
    <w:rsid w:val="00011EE6"/>
    <w:pPr>
      <w:spacing w:line="240" w:lineRule="atLeast"/>
    </w:pPr>
  </w:style>
  <w:style w:type="paragraph" w:customStyle="1" w:styleId="TableColumnHeadingsmall">
    <w:name w:val="Table Column Heading (small)"/>
    <w:basedOn w:val="TableColumnHeading"/>
    <w:uiPriority w:val="20"/>
    <w:rsid w:val="00AE7EAA"/>
    <w:pPr>
      <w:spacing w:line="180" w:lineRule="atLeast"/>
    </w:pPr>
    <w:rPr>
      <w:sz w:val="14"/>
    </w:rPr>
  </w:style>
  <w:style w:type="paragraph" w:customStyle="1" w:styleId="TableCopysmall">
    <w:name w:val="Table Copy (small)"/>
    <w:basedOn w:val="TableCopy"/>
    <w:uiPriority w:val="17"/>
    <w:qFormat/>
    <w:rsid w:val="00EA7703"/>
    <w:pPr>
      <w:spacing w:line="166" w:lineRule="atLeast"/>
    </w:pPr>
    <w:rPr>
      <w:sz w:val="14"/>
    </w:rPr>
  </w:style>
  <w:style w:type="table" w:customStyle="1" w:styleId="Recommendations">
    <w:name w:val="Recommendations"/>
    <w:basedOn w:val="TableNormal"/>
    <w:uiPriority w:val="99"/>
    <w:rsid w:val="0053116C"/>
    <w:tblPr>
      <w:tblBorders>
        <w:bottom w:val="single" w:sz="4" w:space="0" w:color="000000" w:themeColor="text1"/>
        <w:insideH w:val="single" w:sz="4" w:space="0" w:color="000000" w:themeColor="text1"/>
      </w:tblBorders>
      <w:tblCellMar>
        <w:left w:w="0" w:type="dxa"/>
        <w:right w:w="0" w:type="dxa"/>
      </w:tblCellMar>
    </w:tblPr>
    <w:tblStylePr w:type="firstRow">
      <w:tblPr/>
      <w:tcPr>
        <w:tcBorders>
          <w:top w:val="single" w:sz="4" w:space="0" w:color="4B4B4B" w:themeColor="accent2"/>
          <w:left w:val="nil"/>
          <w:bottom w:val="single" w:sz="4" w:space="0" w:color="4B4B4B" w:themeColor="accent2"/>
          <w:right w:val="nil"/>
          <w:insideH w:val="nil"/>
          <w:insideV w:val="nil"/>
          <w:tl2br w:val="nil"/>
          <w:tr2bl w:val="nil"/>
        </w:tcBorders>
        <w:shd w:val="clear" w:color="auto" w:fill="BEBEBE" w:themeFill="accent5"/>
      </w:tcPr>
    </w:tblStylePr>
    <w:tblStylePr w:type="firstCol">
      <w:tblPr/>
      <w:tcPr>
        <w:shd w:val="clear" w:color="auto" w:fill="DCDCDC" w:themeFill="accent6"/>
      </w:tcPr>
    </w:tblStylePr>
  </w:style>
  <w:style w:type="paragraph" w:customStyle="1" w:styleId="KeyFindingsTableHeading">
    <w:name w:val="Key Findings Table Heading"/>
    <w:basedOn w:val="BodyCopy"/>
    <w:uiPriority w:val="21"/>
    <w:rsid w:val="00011EE6"/>
    <w:pPr>
      <w:keepNext/>
      <w:spacing w:before="60" w:after="60" w:line="250" w:lineRule="atLeast"/>
      <w:ind w:left="142" w:right="142"/>
    </w:pPr>
    <w:rPr>
      <w:rFonts w:asciiTheme="majorHAnsi" w:hAnsiTheme="majorHAnsi"/>
      <w:caps/>
      <w:sz w:val="18"/>
    </w:rPr>
  </w:style>
  <w:style w:type="paragraph" w:customStyle="1" w:styleId="KeyFindingsTableLeftColumn">
    <w:name w:val="Key Findings Table Left Column"/>
    <w:basedOn w:val="KeyFindingsTableHeading"/>
    <w:uiPriority w:val="21"/>
    <w:rsid w:val="00011EE6"/>
    <w:pPr>
      <w:keepNext w:val="0"/>
      <w:spacing w:line="264" w:lineRule="atLeast"/>
    </w:pPr>
    <w:rPr>
      <w:caps w:val="0"/>
      <w:sz w:val="20"/>
    </w:rPr>
  </w:style>
  <w:style w:type="paragraph" w:customStyle="1" w:styleId="KeyFindingsTableCopy">
    <w:name w:val="Key Findings Table Copy"/>
    <w:basedOn w:val="TableCopy"/>
    <w:uiPriority w:val="21"/>
    <w:rsid w:val="00011EE6"/>
    <w:pPr>
      <w:spacing w:before="60" w:after="60" w:line="264" w:lineRule="atLeast"/>
      <w:ind w:left="142"/>
    </w:pPr>
    <w:rPr>
      <w:sz w:val="22"/>
    </w:rPr>
  </w:style>
  <w:style w:type="table" w:customStyle="1" w:styleId="KeyFindings">
    <w:name w:val="Key Findings"/>
    <w:basedOn w:val="TableNormal"/>
    <w:uiPriority w:val="99"/>
    <w:rsid w:val="006A755E"/>
    <w:tblPr>
      <w:tblBorders>
        <w:bottom w:val="single" w:sz="4" w:space="0" w:color="787878" w:themeColor="text2"/>
        <w:insideH w:val="single" w:sz="4" w:space="0" w:color="787878" w:themeColor="text2"/>
      </w:tblBorders>
      <w:tblCellMar>
        <w:left w:w="0" w:type="dxa"/>
        <w:right w:w="0" w:type="dxa"/>
      </w:tblCellMar>
    </w:tblPr>
    <w:tcPr>
      <w:shd w:val="clear" w:color="auto" w:fill="DCDCDC" w:themeFill="accent6"/>
    </w:tcPr>
    <w:tblStylePr w:type="firstRow">
      <w:tblPr/>
      <w:tcPr>
        <w:shd w:val="clear" w:color="auto" w:fill="BEBEBE" w:themeFill="accent5"/>
      </w:tcPr>
    </w:tblStylePr>
  </w:style>
  <w:style w:type="paragraph" w:customStyle="1" w:styleId="RecommendationsTableCopy">
    <w:name w:val="Recommendations Table Copy"/>
    <w:basedOn w:val="KeyFindingsTableCopy"/>
    <w:uiPriority w:val="21"/>
    <w:rsid w:val="00011EE6"/>
  </w:style>
  <w:style w:type="character" w:customStyle="1" w:styleId="Captionnotbold">
    <w:name w:val="Caption (not bold)"/>
    <w:basedOn w:val="DefaultParagraphFont"/>
    <w:uiPriority w:val="14"/>
    <w:rsid w:val="005A4B1F"/>
    <w:rPr>
      <w:rFonts w:asciiTheme="majorHAnsi" w:hAnsiTheme="majorHAnsi"/>
      <w:b w:val="0"/>
      <w:color w:val="000000" w:themeColor="text1"/>
    </w:rPr>
  </w:style>
  <w:style w:type="paragraph" w:customStyle="1" w:styleId="ESHeading1">
    <w:name w:val="ES Heading 1"/>
    <w:basedOn w:val="Heading1"/>
    <w:next w:val="BodyCopy"/>
    <w:uiPriority w:val="5"/>
    <w:qFormat/>
    <w:rsid w:val="006C0144"/>
    <w:pPr>
      <w:framePr w:wrap="around" w:vAnchor="page" w:hAnchor="page" w:x="568" w:y="982"/>
      <w:numPr>
        <w:numId w:val="0"/>
      </w:numPr>
    </w:pPr>
  </w:style>
  <w:style w:type="paragraph" w:customStyle="1" w:styleId="ESHeading2">
    <w:name w:val="ES Heading 2"/>
    <w:basedOn w:val="Heading2"/>
    <w:next w:val="BodyCopy"/>
    <w:uiPriority w:val="5"/>
    <w:qFormat/>
    <w:rsid w:val="00300940"/>
    <w:pPr>
      <w:numPr>
        <w:ilvl w:val="0"/>
        <w:numId w:val="0"/>
      </w:numPr>
      <w:outlineLvl w:val="9"/>
    </w:pPr>
  </w:style>
  <w:style w:type="paragraph" w:customStyle="1" w:styleId="ESHeading3">
    <w:name w:val="ES Heading 3"/>
    <w:basedOn w:val="Heading3"/>
    <w:next w:val="BodyCopy"/>
    <w:uiPriority w:val="5"/>
    <w:qFormat/>
    <w:rsid w:val="003374B5"/>
    <w:pPr>
      <w:numPr>
        <w:ilvl w:val="0"/>
        <w:numId w:val="0"/>
      </w:numPr>
      <w:outlineLvl w:val="9"/>
    </w:pPr>
  </w:style>
  <w:style w:type="paragraph" w:styleId="TOC6">
    <w:name w:val="toc 6"/>
    <w:basedOn w:val="TOC3"/>
    <w:next w:val="BodyCopy"/>
    <w:uiPriority w:val="39"/>
    <w:rsid w:val="003934BF"/>
    <w:pPr>
      <w:tabs>
        <w:tab w:val="clear" w:pos="964"/>
        <w:tab w:val="left" w:pos="1474"/>
      </w:tabs>
      <w:spacing w:after="100"/>
      <w:contextualSpacing w:val="0"/>
    </w:pPr>
    <w:rPr>
      <w:caps w:val="0"/>
      <w:noProof/>
    </w:rPr>
  </w:style>
  <w:style w:type="numbering" w:customStyle="1" w:styleId="TableNumbers">
    <w:name w:val="Table Numbers"/>
    <w:basedOn w:val="TableBullets"/>
    <w:uiPriority w:val="99"/>
    <w:rsid w:val="00EA7DE0"/>
    <w:pPr>
      <w:numPr>
        <w:numId w:val="6"/>
      </w:numPr>
    </w:pPr>
  </w:style>
  <w:style w:type="paragraph" w:customStyle="1" w:styleId="Recommendation">
    <w:name w:val="Recommendation"/>
    <w:basedOn w:val="BodyCopy"/>
    <w:next w:val="BodyCopy"/>
    <w:uiPriority w:val="21"/>
    <w:qFormat/>
    <w:rsid w:val="007F0BC2"/>
    <w:pPr>
      <w:numPr>
        <w:numId w:val="9"/>
      </w:numPr>
      <w:tabs>
        <w:tab w:val="left" w:pos="2041"/>
        <w:tab w:val="left" w:pos="2155"/>
        <w:tab w:val="left" w:pos="2268"/>
      </w:tabs>
      <w:ind w:left="0" w:firstLine="0"/>
    </w:pPr>
  </w:style>
  <w:style w:type="paragraph" w:customStyle="1" w:styleId="TableBullets1">
    <w:name w:val="Table Bullets 1"/>
    <w:basedOn w:val="TableCopy"/>
    <w:uiPriority w:val="15"/>
    <w:qFormat/>
    <w:rsid w:val="00EA7DE0"/>
    <w:pPr>
      <w:numPr>
        <w:numId w:val="5"/>
      </w:numPr>
    </w:pPr>
  </w:style>
  <w:style w:type="paragraph" w:customStyle="1" w:styleId="TableBullets2">
    <w:name w:val="Table Bullets 2"/>
    <w:basedOn w:val="TableCopy"/>
    <w:uiPriority w:val="15"/>
    <w:qFormat/>
    <w:rsid w:val="00EA7DE0"/>
    <w:pPr>
      <w:numPr>
        <w:ilvl w:val="1"/>
        <w:numId w:val="5"/>
      </w:numPr>
    </w:pPr>
  </w:style>
  <w:style w:type="paragraph" w:customStyle="1" w:styleId="TableBulletssmall1">
    <w:name w:val="Table Bullets (small) 1"/>
    <w:basedOn w:val="TableCopysmall"/>
    <w:uiPriority w:val="18"/>
    <w:qFormat/>
    <w:rsid w:val="00EA7DE0"/>
    <w:pPr>
      <w:numPr>
        <w:ilvl w:val="4"/>
        <w:numId w:val="5"/>
      </w:numPr>
    </w:pPr>
  </w:style>
  <w:style w:type="paragraph" w:customStyle="1" w:styleId="TableBulletssmall2">
    <w:name w:val="Table Bullets (small) 2"/>
    <w:basedOn w:val="TableCopysmall"/>
    <w:uiPriority w:val="18"/>
    <w:qFormat/>
    <w:rsid w:val="00EA7DE0"/>
    <w:pPr>
      <w:numPr>
        <w:ilvl w:val="5"/>
        <w:numId w:val="5"/>
      </w:numPr>
    </w:pPr>
  </w:style>
  <w:style w:type="paragraph" w:customStyle="1" w:styleId="TableNumbers1">
    <w:name w:val="Table Numbers 1"/>
    <w:basedOn w:val="TableCopy"/>
    <w:uiPriority w:val="15"/>
    <w:qFormat/>
    <w:rsid w:val="00EA7DE0"/>
    <w:pPr>
      <w:numPr>
        <w:numId w:val="6"/>
      </w:numPr>
    </w:pPr>
  </w:style>
  <w:style w:type="paragraph" w:customStyle="1" w:styleId="TableNumbers2">
    <w:name w:val="Table Numbers 2"/>
    <w:basedOn w:val="TableCopy"/>
    <w:uiPriority w:val="15"/>
    <w:qFormat/>
    <w:rsid w:val="001C6726"/>
    <w:pPr>
      <w:numPr>
        <w:ilvl w:val="1"/>
        <w:numId w:val="6"/>
      </w:numPr>
    </w:pPr>
  </w:style>
  <w:style w:type="paragraph" w:customStyle="1" w:styleId="TableNumberssmall1">
    <w:name w:val="Table Numbers (small) 1"/>
    <w:basedOn w:val="TableCopysmall"/>
    <w:uiPriority w:val="18"/>
    <w:qFormat/>
    <w:rsid w:val="00EA7DE0"/>
    <w:pPr>
      <w:numPr>
        <w:ilvl w:val="4"/>
        <w:numId w:val="6"/>
      </w:numPr>
    </w:pPr>
  </w:style>
  <w:style w:type="paragraph" w:customStyle="1" w:styleId="TableNumberssmall2">
    <w:name w:val="Table Numbers (small) 2"/>
    <w:basedOn w:val="TableCopysmall"/>
    <w:uiPriority w:val="18"/>
    <w:qFormat/>
    <w:rsid w:val="00EA7DE0"/>
    <w:pPr>
      <w:numPr>
        <w:ilvl w:val="5"/>
        <w:numId w:val="6"/>
      </w:numPr>
    </w:pPr>
  </w:style>
  <w:style w:type="paragraph" w:customStyle="1" w:styleId="KeyFinding">
    <w:name w:val="Key Finding"/>
    <w:basedOn w:val="Recommendation"/>
    <w:next w:val="BodyCopy"/>
    <w:uiPriority w:val="21"/>
    <w:qFormat/>
    <w:rsid w:val="00CC0BB7"/>
    <w:pPr>
      <w:numPr>
        <w:numId w:val="14"/>
      </w:numPr>
      <w:pBdr>
        <w:top w:val="single" w:sz="4" w:space="4" w:color="787878" w:themeColor="text2"/>
        <w:left w:val="single" w:sz="4" w:space="4" w:color="DCDCDC" w:themeColor="accent6"/>
        <w:bottom w:val="single" w:sz="4" w:space="4" w:color="787878" w:themeColor="text2"/>
        <w:right w:val="single" w:sz="4" w:space="4" w:color="DCDCDC" w:themeColor="accent6"/>
      </w:pBdr>
      <w:shd w:val="clear" w:color="auto" w:fill="DCDCDC" w:themeFill="accent6"/>
      <w:tabs>
        <w:tab w:val="clear" w:pos="2041"/>
        <w:tab w:val="clear" w:pos="2155"/>
        <w:tab w:val="clear" w:pos="2268"/>
      </w:tabs>
      <w:spacing w:before="113" w:after="113"/>
      <w:ind w:left="1531" w:right="113" w:hanging="1418"/>
    </w:pPr>
  </w:style>
  <w:style w:type="paragraph" w:customStyle="1" w:styleId="650E97733753414DBFCDE381257316533">
    <w:name w:val="650E97733753414DBFCDE381257316533"/>
    <w:hidden/>
    <w:semiHidden/>
    <w:rsid w:val="007C0A39"/>
    <w:pPr>
      <w:spacing w:line="264" w:lineRule="atLeast"/>
    </w:pPr>
    <w:rPr>
      <w:rFonts w:asciiTheme="minorHAnsi" w:hAnsiTheme="minorHAnsi"/>
      <w:color w:val="787878" w:themeColor="text2"/>
      <w:spacing w:val="-2"/>
      <w:sz w:val="22"/>
    </w:rPr>
  </w:style>
  <w:style w:type="paragraph" w:customStyle="1" w:styleId="BodyCopyIndented">
    <w:name w:val="Body Copy Indented"/>
    <w:basedOn w:val="BodyCopy"/>
    <w:qFormat/>
    <w:rsid w:val="003242DE"/>
    <w:pPr>
      <w:ind w:left="454"/>
    </w:pPr>
  </w:style>
  <w:style w:type="paragraph" w:customStyle="1" w:styleId="StrategicDirection">
    <w:name w:val="Strategic Direction"/>
    <w:basedOn w:val="KeyFinding"/>
    <w:next w:val="BodyCopy"/>
    <w:uiPriority w:val="21"/>
    <w:rsid w:val="006D62C5"/>
    <w:pPr>
      <w:numPr>
        <w:numId w:val="10"/>
      </w:numPr>
      <w:pBdr>
        <w:bottom w:val="single" w:sz="4" w:space="4" w:color="4B4B4B" w:themeColor="accent2"/>
      </w:pBdr>
      <w:shd w:val="clear" w:color="auto" w:fill="FFF200" w:themeFill="background2"/>
      <w:ind w:left="2381" w:hanging="2268"/>
    </w:pPr>
  </w:style>
  <w:style w:type="table" w:customStyle="1" w:styleId="Style1">
    <w:name w:val="Style1"/>
    <w:basedOn w:val="Recommendations"/>
    <w:uiPriority w:val="99"/>
    <w:rsid w:val="0021760E"/>
    <w:tblPr/>
    <w:tblStylePr w:type="firstRow">
      <w:tblPr/>
      <w:tcPr>
        <w:tcBorders>
          <w:top w:val="single" w:sz="4" w:space="0" w:color="787878" w:themeColor="accent3"/>
          <w:left w:val="nil"/>
          <w:bottom w:val="single" w:sz="4" w:space="0" w:color="787878" w:themeColor="accent3"/>
          <w:right w:val="nil"/>
          <w:insideH w:val="nil"/>
          <w:insideV w:val="nil"/>
          <w:tl2br w:val="nil"/>
          <w:tr2bl w:val="nil"/>
        </w:tcBorders>
        <w:shd w:val="clear" w:color="auto" w:fill="FFF200" w:themeFill="background2"/>
      </w:tcPr>
    </w:tblStylePr>
    <w:tblStylePr w:type="firstCol">
      <w:tblPr/>
      <w:tcPr>
        <w:shd w:val="clear" w:color="auto" w:fill="FFFFFF" w:themeFill="background1"/>
      </w:tcPr>
    </w:tblStylePr>
  </w:style>
  <w:style w:type="paragraph" w:customStyle="1" w:styleId="StrategicDirectionsTableLeftColumn">
    <w:name w:val="Strategic Directions Table Left Column"/>
    <w:basedOn w:val="RecommendationsTableLeftColumn"/>
    <w:uiPriority w:val="21"/>
    <w:rsid w:val="00011EE6"/>
  </w:style>
  <w:style w:type="paragraph" w:customStyle="1" w:styleId="StrategicDirectionsTableCopy">
    <w:name w:val="Strategic Directions Table Copy"/>
    <w:basedOn w:val="RecommendationsTableCopy"/>
    <w:uiPriority w:val="21"/>
    <w:rsid w:val="00011EE6"/>
  </w:style>
  <w:style w:type="paragraph" w:customStyle="1" w:styleId="StrategicDirectionsTableHeading">
    <w:name w:val="Strategic Directions Table Heading"/>
    <w:basedOn w:val="RecommendationsTableHeading"/>
    <w:uiPriority w:val="21"/>
    <w:rsid w:val="00011EE6"/>
  </w:style>
  <w:style w:type="paragraph" w:customStyle="1" w:styleId="HeadingAppendix2">
    <w:name w:val="Heading Appendix 2"/>
    <w:basedOn w:val="Heading1"/>
    <w:next w:val="Normal"/>
    <w:link w:val="HeadingAppendix2CharChar"/>
    <w:rsid w:val="00422CF0"/>
    <w:pPr>
      <w:keepLines w:val="0"/>
      <w:numPr>
        <w:numId w:val="11"/>
      </w:numPr>
      <w:spacing w:before="360" w:after="120" w:line="240" w:lineRule="auto"/>
    </w:pPr>
    <w:rPr>
      <w:rFonts w:eastAsia="Times New Roman" w:cs="Arial"/>
      <w:b w:val="0"/>
      <w:color w:val="auto"/>
      <w:kern w:val="32"/>
      <w:sz w:val="32"/>
      <w:szCs w:val="24"/>
      <w:u w:val="single"/>
    </w:rPr>
  </w:style>
  <w:style w:type="character" w:customStyle="1" w:styleId="HeadingAppendix2CharChar">
    <w:name w:val="Heading Appendix 2 Char Char"/>
    <w:link w:val="HeadingAppendix2"/>
    <w:rsid w:val="00422CF0"/>
    <w:rPr>
      <w:rFonts w:asciiTheme="majorHAnsi" w:eastAsia="Times New Roman" w:hAnsiTheme="majorHAnsi" w:cs="Arial"/>
      <w:bCs/>
      <w:caps/>
      <w:kern w:val="32"/>
      <w:sz w:val="32"/>
      <w:szCs w:val="24"/>
      <w:u w:val="single"/>
    </w:rPr>
  </w:style>
  <w:style w:type="paragraph" w:customStyle="1" w:styleId="StageHeading">
    <w:name w:val="Stage Heading"/>
    <w:basedOn w:val="Normal"/>
    <w:next w:val="Normal"/>
    <w:rsid w:val="00422CF0"/>
    <w:pPr>
      <w:keepNext/>
      <w:numPr>
        <w:numId w:val="12"/>
      </w:numPr>
      <w:tabs>
        <w:tab w:val="left" w:pos="1701"/>
      </w:tabs>
      <w:spacing w:before="360" w:after="120" w:line="240" w:lineRule="auto"/>
      <w:jc w:val="both"/>
    </w:pPr>
    <w:rPr>
      <w:rFonts w:asciiTheme="majorHAnsi" w:eastAsia="Times New Roman" w:hAnsiTheme="majorHAnsi"/>
      <w:caps/>
      <w:color w:val="auto"/>
      <w:spacing w:val="0"/>
      <w:sz w:val="32"/>
      <w:szCs w:val="24"/>
      <w:u w:val="single"/>
    </w:rPr>
  </w:style>
  <w:style w:type="paragraph" w:customStyle="1" w:styleId="B62F7A7DF74646E485171A8AA5594CF41">
    <w:name w:val="B62F7A7DF74646E485171A8AA5594CF41"/>
    <w:hidden/>
    <w:semiHidden/>
    <w:rsid w:val="00735519"/>
    <w:rPr>
      <w:rFonts w:asciiTheme="minorHAnsi" w:hAnsiTheme="minorHAnsi"/>
    </w:rPr>
  </w:style>
  <w:style w:type="paragraph" w:customStyle="1" w:styleId="Projectimplication">
    <w:name w:val="Project implication"/>
    <w:basedOn w:val="BodyCopy"/>
    <w:uiPriority w:val="99"/>
    <w:rsid w:val="002E2DEE"/>
    <w:pPr>
      <w:pBdr>
        <w:top w:val="single" w:sz="4" w:space="1" w:color="6E6E6E" w:themeColor="accent6" w:themeShade="80"/>
        <w:bottom w:val="single" w:sz="4" w:space="1" w:color="6E6E6E" w:themeColor="accent6" w:themeShade="80"/>
      </w:pBdr>
      <w:shd w:val="clear" w:color="auto" w:fill="FFFCCC" w:themeFill="background2" w:themeFillTint="33"/>
      <w:spacing w:before="113" w:after="113"/>
    </w:pPr>
  </w:style>
  <w:style w:type="character" w:styleId="CommentReference">
    <w:name w:val="annotation reference"/>
    <w:basedOn w:val="DefaultParagraphFont"/>
    <w:uiPriority w:val="99"/>
    <w:semiHidden/>
    <w:unhideWhenUsed/>
    <w:rsid w:val="0091563E"/>
    <w:rPr>
      <w:sz w:val="16"/>
      <w:szCs w:val="16"/>
    </w:rPr>
  </w:style>
  <w:style w:type="paragraph" w:styleId="CommentText">
    <w:name w:val="annotation text"/>
    <w:basedOn w:val="Normal"/>
    <w:link w:val="CommentTextChar"/>
    <w:uiPriority w:val="99"/>
    <w:semiHidden/>
    <w:unhideWhenUsed/>
    <w:rsid w:val="0091563E"/>
    <w:pPr>
      <w:spacing w:line="240" w:lineRule="auto"/>
    </w:pPr>
    <w:rPr>
      <w:sz w:val="20"/>
    </w:rPr>
  </w:style>
  <w:style w:type="character" w:customStyle="1" w:styleId="CommentTextChar">
    <w:name w:val="Comment Text Char"/>
    <w:basedOn w:val="DefaultParagraphFont"/>
    <w:link w:val="CommentText"/>
    <w:uiPriority w:val="99"/>
    <w:semiHidden/>
    <w:rsid w:val="0091563E"/>
    <w:rPr>
      <w:rFonts w:asciiTheme="minorHAnsi" w:hAnsiTheme="minorHAnsi"/>
      <w:color w:val="000000" w:themeColor="text1"/>
      <w:spacing w:val="-2"/>
    </w:rPr>
  </w:style>
  <w:style w:type="paragraph" w:styleId="CommentSubject">
    <w:name w:val="annotation subject"/>
    <w:basedOn w:val="CommentText"/>
    <w:next w:val="CommentText"/>
    <w:link w:val="CommentSubjectChar"/>
    <w:uiPriority w:val="99"/>
    <w:semiHidden/>
    <w:unhideWhenUsed/>
    <w:rsid w:val="0091563E"/>
    <w:rPr>
      <w:b/>
      <w:bCs/>
    </w:rPr>
  </w:style>
  <w:style w:type="character" w:customStyle="1" w:styleId="CommentSubjectChar">
    <w:name w:val="Comment Subject Char"/>
    <w:basedOn w:val="CommentTextChar"/>
    <w:link w:val="CommentSubject"/>
    <w:uiPriority w:val="99"/>
    <w:semiHidden/>
    <w:rsid w:val="0091563E"/>
    <w:rPr>
      <w:rFonts w:asciiTheme="minorHAnsi" w:hAnsiTheme="minorHAnsi"/>
      <w:b/>
      <w:bCs/>
      <w:color w:val="000000" w:themeColor="text1"/>
      <w:spacing w:val="-2"/>
    </w:rPr>
  </w:style>
  <w:style w:type="character" w:customStyle="1" w:styleId="CaptionChar">
    <w:name w:val="Caption Char"/>
    <w:basedOn w:val="DefaultParagraphFont"/>
    <w:link w:val="Caption"/>
    <w:uiPriority w:val="14"/>
    <w:locked/>
    <w:rsid w:val="005C2B84"/>
    <w:rPr>
      <w:rFonts w:ascii="Franklin Gothic Demi" w:hAnsi="Franklin Gothic Demi"/>
      <w:bCs/>
      <w:color w:val="000000" w:themeColor="text1"/>
      <w:sz w:val="17"/>
      <w:szCs w:val="18"/>
    </w:rPr>
  </w:style>
  <w:style w:type="paragraph" w:customStyle="1" w:styleId="Appropriatenessassessment">
    <w:name w:val="Appropriateness assessment"/>
    <w:basedOn w:val="KeyFinding"/>
    <w:uiPriority w:val="99"/>
    <w:rsid w:val="00FD7C01"/>
    <w:pPr>
      <w:numPr>
        <w:numId w:val="15"/>
      </w:numPr>
      <w:shd w:val="clear" w:color="auto" w:fill="F2F2F2" w:themeFill="accent5" w:themeFillTint="33"/>
      <w:tabs>
        <w:tab w:val="left" w:pos="3005"/>
      </w:tabs>
      <w:ind w:left="57" w:right="57" w:firstLine="0"/>
    </w:pPr>
  </w:style>
  <w:style w:type="paragraph" w:customStyle="1" w:styleId="Effectiveness">
    <w:name w:val="Effectiveness"/>
    <w:basedOn w:val="KeyFinding"/>
    <w:uiPriority w:val="99"/>
    <w:rsid w:val="00FD7C01"/>
    <w:pPr>
      <w:numPr>
        <w:numId w:val="27"/>
      </w:numPr>
      <w:shd w:val="clear" w:color="auto" w:fill="ECECEC" w:themeFill="accent4" w:themeFillTint="33"/>
      <w:tabs>
        <w:tab w:val="left" w:pos="2268"/>
      </w:tabs>
      <w:ind w:left="57" w:right="57" w:firstLine="0"/>
    </w:pPr>
  </w:style>
  <w:style w:type="paragraph" w:customStyle="1" w:styleId="Efficiency">
    <w:name w:val="Efficiency"/>
    <w:basedOn w:val="KeyFinding"/>
    <w:uiPriority w:val="99"/>
    <w:rsid w:val="00FD7C01"/>
    <w:pPr>
      <w:numPr>
        <w:numId w:val="16"/>
      </w:numPr>
      <w:shd w:val="clear" w:color="auto" w:fill="ECECEC" w:themeFill="accent4" w:themeFillTint="33"/>
      <w:tabs>
        <w:tab w:val="left" w:pos="1985"/>
      </w:tabs>
      <w:ind w:left="57" w:right="57" w:firstLine="0"/>
    </w:pPr>
    <w:rPr>
      <w:color w:val="auto"/>
      <w:lang w:eastAsia="en-AU"/>
    </w:rPr>
  </w:style>
  <w:style w:type="paragraph" w:styleId="Bibliography">
    <w:name w:val="Bibliography"/>
    <w:basedOn w:val="Normal"/>
    <w:next w:val="Normal"/>
    <w:uiPriority w:val="99"/>
    <w:unhideWhenUsed/>
    <w:rsid w:val="005F593D"/>
  </w:style>
  <w:style w:type="table" w:styleId="TableGridLight">
    <w:name w:val="Grid Table Light"/>
    <w:basedOn w:val="TableNormal"/>
    <w:uiPriority w:val="40"/>
    <w:rsid w:val="00CB1EC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2728">
      <w:bodyDiv w:val="1"/>
      <w:marLeft w:val="0"/>
      <w:marRight w:val="0"/>
      <w:marTop w:val="0"/>
      <w:marBottom w:val="0"/>
      <w:divBdr>
        <w:top w:val="none" w:sz="0" w:space="0" w:color="auto"/>
        <w:left w:val="none" w:sz="0" w:space="0" w:color="auto"/>
        <w:bottom w:val="none" w:sz="0" w:space="0" w:color="auto"/>
        <w:right w:val="none" w:sz="0" w:space="0" w:color="auto"/>
      </w:divBdr>
    </w:div>
    <w:div w:id="4597463">
      <w:bodyDiv w:val="1"/>
      <w:marLeft w:val="0"/>
      <w:marRight w:val="0"/>
      <w:marTop w:val="0"/>
      <w:marBottom w:val="0"/>
      <w:divBdr>
        <w:top w:val="none" w:sz="0" w:space="0" w:color="auto"/>
        <w:left w:val="none" w:sz="0" w:space="0" w:color="auto"/>
        <w:bottom w:val="none" w:sz="0" w:space="0" w:color="auto"/>
        <w:right w:val="none" w:sz="0" w:space="0" w:color="auto"/>
      </w:divBdr>
    </w:div>
    <w:div w:id="6097739">
      <w:bodyDiv w:val="1"/>
      <w:marLeft w:val="0"/>
      <w:marRight w:val="0"/>
      <w:marTop w:val="0"/>
      <w:marBottom w:val="0"/>
      <w:divBdr>
        <w:top w:val="none" w:sz="0" w:space="0" w:color="auto"/>
        <w:left w:val="none" w:sz="0" w:space="0" w:color="auto"/>
        <w:bottom w:val="none" w:sz="0" w:space="0" w:color="auto"/>
        <w:right w:val="none" w:sz="0" w:space="0" w:color="auto"/>
      </w:divBdr>
    </w:div>
    <w:div w:id="7104329">
      <w:bodyDiv w:val="1"/>
      <w:marLeft w:val="0"/>
      <w:marRight w:val="0"/>
      <w:marTop w:val="0"/>
      <w:marBottom w:val="0"/>
      <w:divBdr>
        <w:top w:val="none" w:sz="0" w:space="0" w:color="auto"/>
        <w:left w:val="none" w:sz="0" w:space="0" w:color="auto"/>
        <w:bottom w:val="none" w:sz="0" w:space="0" w:color="auto"/>
        <w:right w:val="none" w:sz="0" w:space="0" w:color="auto"/>
      </w:divBdr>
    </w:div>
    <w:div w:id="7296632">
      <w:bodyDiv w:val="1"/>
      <w:marLeft w:val="0"/>
      <w:marRight w:val="0"/>
      <w:marTop w:val="0"/>
      <w:marBottom w:val="0"/>
      <w:divBdr>
        <w:top w:val="none" w:sz="0" w:space="0" w:color="auto"/>
        <w:left w:val="none" w:sz="0" w:space="0" w:color="auto"/>
        <w:bottom w:val="none" w:sz="0" w:space="0" w:color="auto"/>
        <w:right w:val="none" w:sz="0" w:space="0" w:color="auto"/>
      </w:divBdr>
    </w:div>
    <w:div w:id="10106534">
      <w:bodyDiv w:val="1"/>
      <w:marLeft w:val="0"/>
      <w:marRight w:val="0"/>
      <w:marTop w:val="0"/>
      <w:marBottom w:val="0"/>
      <w:divBdr>
        <w:top w:val="none" w:sz="0" w:space="0" w:color="auto"/>
        <w:left w:val="none" w:sz="0" w:space="0" w:color="auto"/>
        <w:bottom w:val="none" w:sz="0" w:space="0" w:color="auto"/>
        <w:right w:val="none" w:sz="0" w:space="0" w:color="auto"/>
      </w:divBdr>
    </w:div>
    <w:div w:id="14232505">
      <w:bodyDiv w:val="1"/>
      <w:marLeft w:val="0"/>
      <w:marRight w:val="0"/>
      <w:marTop w:val="0"/>
      <w:marBottom w:val="0"/>
      <w:divBdr>
        <w:top w:val="none" w:sz="0" w:space="0" w:color="auto"/>
        <w:left w:val="none" w:sz="0" w:space="0" w:color="auto"/>
        <w:bottom w:val="none" w:sz="0" w:space="0" w:color="auto"/>
        <w:right w:val="none" w:sz="0" w:space="0" w:color="auto"/>
      </w:divBdr>
    </w:div>
    <w:div w:id="22833006">
      <w:bodyDiv w:val="1"/>
      <w:marLeft w:val="0"/>
      <w:marRight w:val="0"/>
      <w:marTop w:val="0"/>
      <w:marBottom w:val="0"/>
      <w:divBdr>
        <w:top w:val="none" w:sz="0" w:space="0" w:color="auto"/>
        <w:left w:val="none" w:sz="0" w:space="0" w:color="auto"/>
        <w:bottom w:val="none" w:sz="0" w:space="0" w:color="auto"/>
        <w:right w:val="none" w:sz="0" w:space="0" w:color="auto"/>
      </w:divBdr>
    </w:div>
    <w:div w:id="29191567">
      <w:bodyDiv w:val="1"/>
      <w:marLeft w:val="0"/>
      <w:marRight w:val="0"/>
      <w:marTop w:val="0"/>
      <w:marBottom w:val="0"/>
      <w:divBdr>
        <w:top w:val="none" w:sz="0" w:space="0" w:color="auto"/>
        <w:left w:val="none" w:sz="0" w:space="0" w:color="auto"/>
        <w:bottom w:val="none" w:sz="0" w:space="0" w:color="auto"/>
        <w:right w:val="none" w:sz="0" w:space="0" w:color="auto"/>
      </w:divBdr>
    </w:div>
    <w:div w:id="30152295">
      <w:bodyDiv w:val="1"/>
      <w:marLeft w:val="0"/>
      <w:marRight w:val="0"/>
      <w:marTop w:val="0"/>
      <w:marBottom w:val="0"/>
      <w:divBdr>
        <w:top w:val="none" w:sz="0" w:space="0" w:color="auto"/>
        <w:left w:val="none" w:sz="0" w:space="0" w:color="auto"/>
        <w:bottom w:val="none" w:sz="0" w:space="0" w:color="auto"/>
        <w:right w:val="none" w:sz="0" w:space="0" w:color="auto"/>
      </w:divBdr>
    </w:div>
    <w:div w:id="30618415">
      <w:bodyDiv w:val="1"/>
      <w:marLeft w:val="0"/>
      <w:marRight w:val="0"/>
      <w:marTop w:val="0"/>
      <w:marBottom w:val="0"/>
      <w:divBdr>
        <w:top w:val="none" w:sz="0" w:space="0" w:color="auto"/>
        <w:left w:val="none" w:sz="0" w:space="0" w:color="auto"/>
        <w:bottom w:val="none" w:sz="0" w:space="0" w:color="auto"/>
        <w:right w:val="none" w:sz="0" w:space="0" w:color="auto"/>
      </w:divBdr>
    </w:div>
    <w:div w:id="31423971">
      <w:bodyDiv w:val="1"/>
      <w:marLeft w:val="0"/>
      <w:marRight w:val="0"/>
      <w:marTop w:val="0"/>
      <w:marBottom w:val="0"/>
      <w:divBdr>
        <w:top w:val="none" w:sz="0" w:space="0" w:color="auto"/>
        <w:left w:val="none" w:sz="0" w:space="0" w:color="auto"/>
        <w:bottom w:val="none" w:sz="0" w:space="0" w:color="auto"/>
        <w:right w:val="none" w:sz="0" w:space="0" w:color="auto"/>
      </w:divBdr>
    </w:div>
    <w:div w:id="33121143">
      <w:bodyDiv w:val="1"/>
      <w:marLeft w:val="0"/>
      <w:marRight w:val="0"/>
      <w:marTop w:val="0"/>
      <w:marBottom w:val="0"/>
      <w:divBdr>
        <w:top w:val="none" w:sz="0" w:space="0" w:color="auto"/>
        <w:left w:val="none" w:sz="0" w:space="0" w:color="auto"/>
        <w:bottom w:val="none" w:sz="0" w:space="0" w:color="auto"/>
        <w:right w:val="none" w:sz="0" w:space="0" w:color="auto"/>
      </w:divBdr>
    </w:div>
    <w:div w:id="39283015">
      <w:bodyDiv w:val="1"/>
      <w:marLeft w:val="0"/>
      <w:marRight w:val="0"/>
      <w:marTop w:val="0"/>
      <w:marBottom w:val="0"/>
      <w:divBdr>
        <w:top w:val="none" w:sz="0" w:space="0" w:color="auto"/>
        <w:left w:val="none" w:sz="0" w:space="0" w:color="auto"/>
        <w:bottom w:val="none" w:sz="0" w:space="0" w:color="auto"/>
        <w:right w:val="none" w:sz="0" w:space="0" w:color="auto"/>
      </w:divBdr>
    </w:div>
    <w:div w:id="40174685">
      <w:bodyDiv w:val="1"/>
      <w:marLeft w:val="0"/>
      <w:marRight w:val="0"/>
      <w:marTop w:val="0"/>
      <w:marBottom w:val="0"/>
      <w:divBdr>
        <w:top w:val="none" w:sz="0" w:space="0" w:color="auto"/>
        <w:left w:val="none" w:sz="0" w:space="0" w:color="auto"/>
        <w:bottom w:val="none" w:sz="0" w:space="0" w:color="auto"/>
        <w:right w:val="none" w:sz="0" w:space="0" w:color="auto"/>
      </w:divBdr>
    </w:div>
    <w:div w:id="42678626">
      <w:bodyDiv w:val="1"/>
      <w:marLeft w:val="0"/>
      <w:marRight w:val="0"/>
      <w:marTop w:val="0"/>
      <w:marBottom w:val="0"/>
      <w:divBdr>
        <w:top w:val="none" w:sz="0" w:space="0" w:color="auto"/>
        <w:left w:val="none" w:sz="0" w:space="0" w:color="auto"/>
        <w:bottom w:val="none" w:sz="0" w:space="0" w:color="auto"/>
        <w:right w:val="none" w:sz="0" w:space="0" w:color="auto"/>
      </w:divBdr>
    </w:div>
    <w:div w:id="44179591">
      <w:bodyDiv w:val="1"/>
      <w:marLeft w:val="0"/>
      <w:marRight w:val="0"/>
      <w:marTop w:val="0"/>
      <w:marBottom w:val="0"/>
      <w:divBdr>
        <w:top w:val="none" w:sz="0" w:space="0" w:color="auto"/>
        <w:left w:val="none" w:sz="0" w:space="0" w:color="auto"/>
        <w:bottom w:val="none" w:sz="0" w:space="0" w:color="auto"/>
        <w:right w:val="none" w:sz="0" w:space="0" w:color="auto"/>
      </w:divBdr>
    </w:div>
    <w:div w:id="45298215">
      <w:bodyDiv w:val="1"/>
      <w:marLeft w:val="0"/>
      <w:marRight w:val="0"/>
      <w:marTop w:val="0"/>
      <w:marBottom w:val="0"/>
      <w:divBdr>
        <w:top w:val="none" w:sz="0" w:space="0" w:color="auto"/>
        <w:left w:val="none" w:sz="0" w:space="0" w:color="auto"/>
        <w:bottom w:val="none" w:sz="0" w:space="0" w:color="auto"/>
        <w:right w:val="none" w:sz="0" w:space="0" w:color="auto"/>
      </w:divBdr>
    </w:div>
    <w:div w:id="50882492">
      <w:bodyDiv w:val="1"/>
      <w:marLeft w:val="0"/>
      <w:marRight w:val="0"/>
      <w:marTop w:val="0"/>
      <w:marBottom w:val="0"/>
      <w:divBdr>
        <w:top w:val="none" w:sz="0" w:space="0" w:color="auto"/>
        <w:left w:val="none" w:sz="0" w:space="0" w:color="auto"/>
        <w:bottom w:val="none" w:sz="0" w:space="0" w:color="auto"/>
        <w:right w:val="none" w:sz="0" w:space="0" w:color="auto"/>
      </w:divBdr>
    </w:div>
    <w:div w:id="53745285">
      <w:bodyDiv w:val="1"/>
      <w:marLeft w:val="0"/>
      <w:marRight w:val="0"/>
      <w:marTop w:val="0"/>
      <w:marBottom w:val="0"/>
      <w:divBdr>
        <w:top w:val="none" w:sz="0" w:space="0" w:color="auto"/>
        <w:left w:val="none" w:sz="0" w:space="0" w:color="auto"/>
        <w:bottom w:val="none" w:sz="0" w:space="0" w:color="auto"/>
        <w:right w:val="none" w:sz="0" w:space="0" w:color="auto"/>
      </w:divBdr>
    </w:div>
    <w:div w:id="55133867">
      <w:bodyDiv w:val="1"/>
      <w:marLeft w:val="0"/>
      <w:marRight w:val="0"/>
      <w:marTop w:val="0"/>
      <w:marBottom w:val="0"/>
      <w:divBdr>
        <w:top w:val="none" w:sz="0" w:space="0" w:color="auto"/>
        <w:left w:val="none" w:sz="0" w:space="0" w:color="auto"/>
        <w:bottom w:val="none" w:sz="0" w:space="0" w:color="auto"/>
        <w:right w:val="none" w:sz="0" w:space="0" w:color="auto"/>
      </w:divBdr>
    </w:div>
    <w:div w:id="56174110">
      <w:bodyDiv w:val="1"/>
      <w:marLeft w:val="0"/>
      <w:marRight w:val="0"/>
      <w:marTop w:val="0"/>
      <w:marBottom w:val="0"/>
      <w:divBdr>
        <w:top w:val="none" w:sz="0" w:space="0" w:color="auto"/>
        <w:left w:val="none" w:sz="0" w:space="0" w:color="auto"/>
        <w:bottom w:val="none" w:sz="0" w:space="0" w:color="auto"/>
        <w:right w:val="none" w:sz="0" w:space="0" w:color="auto"/>
      </w:divBdr>
    </w:div>
    <w:div w:id="59257322">
      <w:bodyDiv w:val="1"/>
      <w:marLeft w:val="0"/>
      <w:marRight w:val="0"/>
      <w:marTop w:val="0"/>
      <w:marBottom w:val="0"/>
      <w:divBdr>
        <w:top w:val="none" w:sz="0" w:space="0" w:color="auto"/>
        <w:left w:val="none" w:sz="0" w:space="0" w:color="auto"/>
        <w:bottom w:val="none" w:sz="0" w:space="0" w:color="auto"/>
        <w:right w:val="none" w:sz="0" w:space="0" w:color="auto"/>
      </w:divBdr>
    </w:div>
    <w:div w:id="59331515">
      <w:bodyDiv w:val="1"/>
      <w:marLeft w:val="0"/>
      <w:marRight w:val="0"/>
      <w:marTop w:val="0"/>
      <w:marBottom w:val="0"/>
      <w:divBdr>
        <w:top w:val="none" w:sz="0" w:space="0" w:color="auto"/>
        <w:left w:val="none" w:sz="0" w:space="0" w:color="auto"/>
        <w:bottom w:val="none" w:sz="0" w:space="0" w:color="auto"/>
        <w:right w:val="none" w:sz="0" w:space="0" w:color="auto"/>
      </w:divBdr>
    </w:div>
    <w:div w:id="67073439">
      <w:bodyDiv w:val="1"/>
      <w:marLeft w:val="0"/>
      <w:marRight w:val="0"/>
      <w:marTop w:val="0"/>
      <w:marBottom w:val="0"/>
      <w:divBdr>
        <w:top w:val="none" w:sz="0" w:space="0" w:color="auto"/>
        <w:left w:val="none" w:sz="0" w:space="0" w:color="auto"/>
        <w:bottom w:val="none" w:sz="0" w:space="0" w:color="auto"/>
        <w:right w:val="none" w:sz="0" w:space="0" w:color="auto"/>
      </w:divBdr>
    </w:div>
    <w:div w:id="73284802">
      <w:bodyDiv w:val="1"/>
      <w:marLeft w:val="0"/>
      <w:marRight w:val="0"/>
      <w:marTop w:val="0"/>
      <w:marBottom w:val="0"/>
      <w:divBdr>
        <w:top w:val="none" w:sz="0" w:space="0" w:color="auto"/>
        <w:left w:val="none" w:sz="0" w:space="0" w:color="auto"/>
        <w:bottom w:val="none" w:sz="0" w:space="0" w:color="auto"/>
        <w:right w:val="none" w:sz="0" w:space="0" w:color="auto"/>
      </w:divBdr>
    </w:div>
    <w:div w:id="79378860">
      <w:bodyDiv w:val="1"/>
      <w:marLeft w:val="0"/>
      <w:marRight w:val="0"/>
      <w:marTop w:val="0"/>
      <w:marBottom w:val="0"/>
      <w:divBdr>
        <w:top w:val="none" w:sz="0" w:space="0" w:color="auto"/>
        <w:left w:val="none" w:sz="0" w:space="0" w:color="auto"/>
        <w:bottom w:val="none" w:sz="0" w:space="0" w:color="auto"/>
        <w:right w:val="none" w:sz="0" w:space="0" w:color="auto"/>
      </w:divBdr>
    </w:div>
    <w:div w:id="80682671">
      <w:bodyDiv w:val="1"/>
      <w:marLeft w:val="0"/>
      <w:marRight w:val="0"/>
      <w:marTop w:val="0"/>
      <w:marBottom w:val="0"/>
      <w:divBdr>
        <w:top w:val="none" w:sz="0" w:space="0" w:color="auto"/>
        <w:left w:val="none" w:sz="0" w:space="0" w:color="auto"/>
        <w:bottom w:val="none" w:sz="0" w:space="0" w:color="auto"/>
        <w:right w:val="none" w:sz="0" w:space="0" w:color="auto"/>
      </w:divBdr>
    </w:div>
    <w:div w:id="82341631">
      <w:bodyDiv w:val="1"/>
      <w:marLeft w:val="0"/>
      <w:marRight w:val="0"/>
      <w:marTop w:val="0"/>
      <w:marBottom w:val="0"/>
      <w:divBdr>
        <w:top w:val="none" w:sz="0" w:space="0" w:color="auto"/>
        <w:left w:val="none" w:sz="0" w:space="0" w:color="auto"/>
        <w:bottom w:val="none" w:sz="0" w:space="0" w:color="auto"/>
        <w:right w:val="none" w:sz="0" w:space="0" w:color="auto"/>
      </w:divBdr>
    </w:div>
    <w:div w:id="89550171">
      <w:bodyDiv w:val="1"/>
      <w:marLeft w:val="0"/>
      <w:marRight w:val="0"/>
      <w:marTop w:val="0"/>
      <w:marBottom w:val="0"/>
      <w:divBdr>
        <w:top w:val="none" w:sz="0" w:space="0" w:color="auto"/>
        <w:left w:val="none" w:sz="0" w:space="0" w:color="auto"/>
        <w:bottom w:val="none" w:sz="0" w:space="0" w:color="auto"/>
        <w:right w:val="none" w:sz="0" w:space="0" w:color="auto"/>
      </w:divBdr>
    </w:div>
    <w:div w:id="89855875">
      <w:bodyDiv w:val="1"/>
      <w:marLeft w:val="0"/>
      <w:marRight w:val="0"/>
      <w:marTop w:val="0"/>
      <w:marBottom w:val="0"/>
      <w:divBdr>
        <w:top w:val="none" w:sz="0" w:space="0" w:color="auto"/>
        <w:left w:val="none" w:sz="0" w:space="0" w:color="auto"/>
        <w:bottom w:val="none" w:sz="0" w:space="0" w:color="auto"/>
        <w:right w:val="none" w:sz="0" w:space="0" w:color="auto"/>
      </w:divBdr>
    </w:div>
    <w:div w:id="93021127">
      <w:bodyDiv w:val="1"/>
      <w:marLeft w:val="0"/>
      <w:marRight w:val="0"/>
      <w:marTop w:val="0"/>
      <w:marBottom w:val="0"/>
      <w:divBdr>
        <w:top w:val="none" w:sz="0" w:space="0" w:color="auto"/>
        <w:left w:val="none" w:sz="0" w:space="0" w:color="auto"/>
        <w:bottom w:val="none" w:sz="0" w:space="0" w:color="auto"/>
        <w:right w:val="none" w:sz="0" w:space="0" w:color="auto"/>
      </w:divBdr>
    </w:div>
    <w:div w:id="97798692">
      <w:bodyDiv w:val="1"/>
      <w:marLeft w:val="0"/>
      <w:marRight w:val="0"/>
      <w:marTop w:val="0"/>
      <w:marBottom w:val="0"/>
      <w:divBdr>
        <w:top w:val="none" w:sz="0" w:space="0" w:color="auto"/>
        <w:left w:val="none" w:sz="0" w:space="0" w:color="auto"/>
        <w:bottom w:val="none" w:sz="0" w:space="0" w:color="auto"/>
        <w:right w:val="none" w:sz="0" w:space="0" w:color="auto"/>
      </w:divBdr>
    </w:div>
    <w:div w:id="98530672">
      <w:bodyDiv w:val="1"/>
      <w:marLeft w:val="0"/>
      <w:marRight w:val="0"/>
      <w:marTop w:val="0"/>
      <w:marBottom w:val="0"/>
      <w:divBdr>
        <w:top w:val="none" w:sz="0" w:space="0" w:color="auto"/>
        <w:left w:val="none" w:sz="0" w:space="0" w:color="auto"/>
        <w:bottom w:val="none" w:sz="0" w:space="0" w:color="auto"/>
        <w:right w:val="none" w:sz="0" w:space="0" w:color="auto"/>
      </w:divBdr>
    </w:div>
    <w:div w:id="100340753">
      <w:bodyDiv w:val="1"/>
      <w:marLeft w:val="0"/>
      <w:marRight w:val="0"/>
      <w:marTop w:val="0"/>
      <w:marBottom w:val="0"/>
      <w:divBdr>
        <w:top w:val="none" w:sz="0" w:space="0" w:color="auto"/>
        <w:left w:val="none" w:sz="0" w:space="0" w:color="auto"/>
        <w:bottom w:val="none" w:sz="0" w:space="0" w:color="auto"/>
        <w:right w:val="none" w:sz="0" w:space="0" w:color="auto"/>
      </w:divBdr>
    </w:div>
    <w:div w:id="113334295">
      <w:bodyDiv w:val="1"/>
      <w:marLeft w:val="0"/>
      <w:marRight w:val="0"/>
      <w:marTop w:val="0"/>
      <w:marBottom w:val="0"/>
      <w:divBdr>
        <w:top w:val="none" w:sz="0" w:space="0" w:color="auto"/>
        <w:left w:val="none" w:sz="0" w:space="0" w:color="auto"/>
        <w:bottom w:val="none" w:sz="0" w:space="0" w:color="auto"/>
        <w:right w:val="none" w:sz="0" w:space="0" w:color="auto"/>
      </w:divBdr>
    </w:div>
    <w:div w:id="115372614">
      <w:bodyDiv w:val="1"/>
      <w:marLeft w:val="0"/>
      <w:marRight w:val="0"/>
      <w:marTop w:val="0"/>
      <w:marBottom w:val="0"/>
      <w:divBdr>
        <w:top w:val="none" w:sz="0" w:space="0" w:color="auto"/>
        <w:left w:val="none" w:sz="0" w:space="0" w:color="auto"/>
        <w:bottom w:val="none" w:sz="0" w:space="0" w:color="auto"/>
        <w:right w:val="none" w:sz="0" w:space="0" w:color="auto"/>
      </w:divBdr>
    </w:div>
    <w:div w:id="122773573">
      <w:bodyDiv w:val="1"/>
      <w:marLeft w:val="0"/>
      <w:marRight w:val="0"/>
      <w:marTop w:val="0"/>
      <w:marBottom w:val="0"/>
      <w:divBdr>
        <w:top w:val="none" w:sz="0" w:space="0" w:color="auto"/>
        <w:left w:val="none" w:sz="0" w:space="0" w:color="auto"/>
        <w:bottom w:val="none" w:sz="0" w:space="0" w:color="auto"/>
        <w:right w:val="none" w:sz="0" w:space="0" w:color="auto"/>
      </w:divBdr>
    </w:div>
    <w:div w:id="123548598">
      <w:bodyDiv w:val="1"/>
      <w:marLeft w:val="0"/>
      <w:marRight w:val="0"/>
      <w:marTop w:val="0"/>
      <w:marBottom w:val="0"/>
      <w:divBdr>
        <w:top w:val="none" w:sz="0" w:space="0" w:color="auto"/>
        <w:left w:val="none" w:sz="0" w:space="0" w:color="auto"/>
        <w:bottom w:val="none" w:sz="0" w:space="0" w:color="auto"/>
        <w:right w:val="none" w:sz="0" w:space="0" w:color="auto"/>
      </w:divBdr>
    </w:div>
    <w:div w:id="126241932">
      <w:bodyDiv w:val="1"/>
      <w:marLeft w:val="0"/>
      <w:marRight w:val="0"/>
      <w:marTop w:val="0"/>
      <w:marBottom w:val="0"/>
      <w:divBdr>
        <w:top w:val="none" w:sz="0" w:space="0" w:color="auto"/>
        <w:left w:val="none" w:sz="0" w:space="0" w:color="auto"/>
        <w:bottom w:val="none" w:sz="0" w:space="0" w:color="auto"/>
        <w:right w:val="none" w:sz="0" w:space="0" w:color="auto"/>
      </w:divBdr>
    </w:div>
    <w:div w:id="126439842">
      <w:bodyDiv w:val="1"/>
      <w:marLeft w:val="0"/>
      <w:marRight w:val="0"/>
      <w:marTop w:val="0"/>
      <w:marBottom w:val="0"/>
      <w:divBdr>
        <w:top w:val="none" w:sz="0" w:space="0" w:color="auto"/>
        <w:left w:val="none" w:sz="0" w:space="0" w:color="auto"/>
        <w:bottom w:val="none" w:sz="0" w:space="0" w:color="auto"/>
        <w:right w:val="none" w:sz="0" w:space="0" w:color="auto"/>
      </w:divBdr>
    </w:div>
    <w:div w:id="127211989">
      <w:bodyDiv w:val="1"/>
      <w:marLeft w:val="0"/>
      <w:marRight w:val="0"/>
      <w:marTop w:val="0"/>
      <w:marBottom w:val="0"/>
      <w:divBdr>
        <w:top w:val="none" w:sz="0" w:space="0" w:color="auto"/>
        <w:left w:val="none" w:sz="0" w:space="0" w:color="auto"/>
        <w:bottom w:val="none" w:sz="0" w:space="0" w:color="auto"/>
        <w:right w:val="none" w:sz="0" w:space="0" w:color="auto"/>
      </w:divBdr>
    </w:div>
    <w:div w:id="133789928">
      <w:bodyDiv w:val="1"/>
      <w:marLeft w:val="0"/>
      <w:marRight w:val="0"/>
      <w:marTop w:val="0"/>
      <w:marBottom w:val="0"/>
      <w:divBdr>
        <w:top w:val="none" w:sz="0" w:space="0" w:color="auto"/>
        <w:left w:val="none" w:sz="0" w:space="0" w:color="auto"/>
        <w:bottom w:val="none" w:sz="0" w:space="0" w:color="auto"/>
        <w:right w:val="none" w:sz="0" w:space="0" w:color="auto"/>
      </w:divBdr>
    </w:div>
    <w:div w:id="136577178">
      <w:bodyDiv w:val="1"/>
      <w:marLeft w:val="0"/>
      <w:marRight w:val="0"/>
      <w:marTop w:val="0"/>
      <w:marBottom w:val="0"/>
      <w:divBdr>
        <w:top w:val="none" w:sz="0" w:space="0" w:color="auto"/>
        <w:left w:val="none" w:sz="0" w:space="0" w:color="auto"/>
        <w:bottom w:val="none" w:sz="0" w:space="0" w:color="auto"/>
        <w:right w:val="none" w:sz="0" w:space="0" w:color="auto"/>
      </w:divBdr>
    </w:div>
    <w:div w:id="141120994">
      <w:bodyDiv w:val="1"/>
      <w:marLeft w:val="0"/>
      <w:marRight w:val="0"/>
      <w:marTop w:val="0"/>
      <w:marBottom w:val="0"/>
      <w:divBdr>
        <w:top w:val="none" w:sz="0" w:space="0" w:color="auto"/>
        <w:left w:val="none" w:sz="0" w:space="0" w:color="auto"/>
        <w:bottom w:val="none" w:sz="0" w:space="0" w:color="auto"/>
        <w:right w:val="none" w:sz="0" w:space="0" w:color="auto"/>
      </w:divBdr>
    </w:div>
    <w:div w:id="141428481">
      <w:bodyDiv w:val="1"/>
      <w:marLeft w:val="0"/>
      <w:marRight w:val="0"/>
      <w:marTop w:val="0"/>
      <w:marBottom w:val="0"/>
      <w:divBdr>
        <w:top w:val="none" w:sz="0" w:space="0" w:color="auto"/>
        <w:left w:val="none" w:sz="0" w:space="0" w:color="auto"/>
        <w:bottom w:val="none" w:sz="0" w:space="0" w:color="auto"/>
        <w:right w:val="none" w:sz="0" w:space="0" w:color="auto"/>
      </w:divBdr>
    </w:div>
    <w:div w:id="143550810">
      <w:bodyDiv w:val="1"/>
      <w:marLeft w:val="0"/>
      <w:marRight w:val="0"/>
      <w:marTop w:val="0"/>
      <w:marBottom w:val="0"/>
      <w:divBdr>
        <w:top w:val="none" w:sz="0" w:space="0" w:color="auto"/>
        <w:left w:val="none" w:sz="0" w:space="0" w:color="auto"/>
        <w:bottom w:val="none" w:sz="0" w:space="0" w:color="auto"/>
        <w:right w:val="none" w:sz="0" w:space="0" w:color="auto"/>
      </w:divBdr>
    </w:div>
    <w:div w:id="147017887">
      <w:bodyDiv w:val="1"/>
      <w:marLeft w:val="0"/>
      <w:marRight w:val="0"/>
      <w:marTop w:val="0"/>
      <w:marBottom w:val="0"/>
      <w:divBdr>
        <w:top w:val="none" w:sz="0" w:space="0" w:color="auto"/>
        <w:left w:val="none" w:sz="0" w:space="0" w:color="auto"/>
        <w:bottom w:val="none" w:sz="0" w:space="0" w:color="auto"/>
        <w:right w:val="none" w:sz="0" w:space="0" w:color="auto"/>
      </w:divBdr>
    </w:div>
    <w:div w:id="147787876">
      <w:bodyDiv w:val="1"/>
      <w:marLeft w:val="0"/>
      <w:marRight w:val="0"/>
      <w:marTop w:val="0"/>
      <w:marBottom w:val="0"/>
      <w:divBdr>
        <w:top w:val="none" w:sz="0" w:space="0" w:color="auto"/>
        <w:left w:val="none" w:sz="0" w:space="0" w:color="auto"/>
        <w:bottom w:val="none" w:sz="0" w:space="0" w:color="auto"/>
        <w:right w:val="none" w:sz="0" w:space="0" w:color="auto"/>
      </w:divBdr>
    </w:div>
    <w:div w:id="149181348">
      <w:bodyDiv w:val="1"/>
      <w:marLeft w:val="0"/>
      <w:marRight w:val="0"/>
      <w:marTop w:val="0"/>
      <w:marBottom w:val="0"/>
      <w:divBdr>
        <w:top w:val="none" w:sz="0" w:space="0" w:color="auto"/>
        <w:left w:val="none" w:sz="0" w:space="0" w:color="auto"/>
        <w:bottom w:val="none" w:sz="0" w:space="0" w:color="auto"/>
        <w:right w:val="none" w:sz="0" w:space="0" w:color="auto"/>
      </w:divBdr>
    </w:div>
    <w:div w:id="162280518">
      <w:bodyDiv w:val="1"/>
      <w:marLeft w:val="0"/>
      <w:marRight w:val="0"/>
      <w:marTop w:val="0"/>
      <w:marBottom w:val="0"/>
      <w:divBdr>
        <w:top w:val="none" w:sz="0" w:space="0" w:color="auto"/>
        <w:left w:val="none" w:sz="0" w:space="0" w:color="auto"/>
        <w:bottom w:val="none" w:sz="0" w:space="0" w:color="auto"/>
        <w:right w:val="none" w:sz="0" w:space="0" w:color="auto"/>
      </w:divBdr>
    </w:div>
    <w:div w:id="163860710">
      <w:bodyDiv w:val="1"/>
      <w:marLeft w:val="0"/>
      <w:marRight w:val="0"/>
      <w:marTop w:val="0"/>
      <w:marBottom w:val="0"/>
      <w:divBdr>
        <w:top w:val="none" w:sz="0" w:space="0" w:color="auto"/>
        <w:left w:val="none" w:sz="0" w:space="0" w:color="auto"/>
        <w:bottom w:val="none" w:sz="0" w:space="0" w:color="auto"/>
        <w:right w:val="none" w:sz="0" w:space="0" w:color="auto"/>
      </w:divBdr>
    </w:div>
    <w:div w:id="164252228">
      <w:bodyDiv w:val="1"/>
      <w:marLeft w:val="0"/>
      <w:marRight w:val="0"/>
      <w:marTop w:val="0"/>
      <w:marBottom w:val="0"/>
      <w:divBdr>
        <w:top w:val="none" w:sz="0" w:space="0" w:color="auto"/>
        <w:left w:val="none" w:sz="0" w:space="0" w:color="auto"/>
        <w:bottom w:val="none" w:sz="0" w:space="0" w:color="auto"/>
        <w:right w:val="none" w:sz="0" w:space="0" w:color="auto"/>
      </w:divBdr>
    </w:div>
    <w:div w:id="164519911">
      <w:bodyDiv w:val="1"/>
      <w:marLeft w:val="0"/>
      <w:marRight w:val="0"/>
      <w:marTop w:val="0"/>
      <w:marBottom w:val="0"/>
      <w:divBdr>
        <w:top w:val="none" w:sz="0" w:space="0" w:color="auto"/>
        <w:left w:val="none" w:sz="0" w:space="0" w:color="auto"/>
        <w:bottom w:val="none" w:sz="0" w:space="0" w:color="auto"/>
        <w:right w:val="none" w:sz="0" w:space="0" w:color="auto"/>
      </w:divBdr>
    </w:div>
    <w:div w:id="168106825">
      <w:bodyDiv w:val="1"/>
      <w:marLeft w:val="0"/>
      <w:marRight w:val="0"/>
      <w:marTop w:val="0"/>
      <w:marBottom w:val="0"/>
      <w:divBdr>
        <w:top w:val="none" w:sz="0" w:space="0" w:color="auto"/>
        <w:left w:val="none" w:sz="0" w:space="0" w:color="auto"/>
        <w:bottom w:val="none" w:sz="0" w:space="0" w:color="auto"/>
        <w:right w:val="none" w:sz="0" w:space="0" w:color="auto"/>
      </w:divBdr>
    </w:div>
    <w:div w:id="171336440">
      <w:bodyDiv w:val="1"/>
      <w:marLeft w:val="0"/>
      <w:marRight w:val="0"/>
      <w:marTop w:val="0"/>
      <w:marBottom w:val="0"/>
      <w:divBdr>
        <w:top w:val="none" w:sz="0" w:space="0" w:color="auto"/>
        <w:left w:val="none" w:sz="0" w:space="0" w:color="auto"/>
        <w:bottom w:val="none" w:sz="0" w:space="0" w:color="auto"/>
        <w:right w:val="none" w:sz="0" w:space="0" w:color="auto"/>
      </w:divBdr>
    </w:div>
    <w:div w:id="171604489">
      <w:bodyDiv w:val="1"/>
      <w:marLeft w:val="0"/>
      <w:marRight w:val="0"/>
      <w:marTop w:val="0"/>
      <w:marBottom w:val="0"/>
      <w:divBdr>
        <w:top w:val="none" w:sz="0" w:space="0" w:color="auto"/>
        <w:left w:val="none" w:sz="0" w:space="0" w:color="auto"/>
        <w:bottom w:val="none" w:sz="0" w:space="0" w:color="auto"/>
        <w:right w:val="none" w:sz="0" w:space="0" w:color="auto"/>
      </w:divBdr>
    </w:div>
    <w:div w:id="177618077">
      <w:bodyDiv w:val="1"/>
      <w:marLeft w:val="0"/>
      <w:marRight w:val="0"/>
      <w:marTop w:val="0"/>
      <w:marBottom w:val="0"/>
      <w:divBdr>
        <w:top w:val="none" w:sz="0" w:space="0" w:color="auto"/>
        <w:left w:val="none" w:sz="0" w:space="0" w:color="auto"/>
        <w:bottom w:val="none" w:sz="0" w:space="0" w:color="auto"/>
        <w:right w:val="none" w:sz="0" w:space="0" w:color="auto"/>
      </w:divBdr>
    </w:div>
    <w:div w:id="182018947">
      <w:bodyDiv w:val="1"/>
      <w:marLeft w:val="0"/>
      <w:marRight w:val="0"/>
      <w:marTop w:val="0"/>
      <w:marBottom w:val="0"/>
      <w:divBdr>
        <w:top w:val="none" w:sz="0" w:space="0" w:color="auto"/>
        <w:left w:val="none" w:sz="0" w:space="0" w:color="auto"/>
        <w:bottom w:val="none" w:sz="0" w:space="0" w:color="auto"/>
        <w:right w:val="none" w:sz="0" w:space="0" w:color="auto"/>
      </w:divBdr>
    </w:div>
    <w:div w:id="183177647">
      <w:bodyDiv w:val="1"/>
      <w:marLeft w:val="0"/>
      <w:marRight w:val="0"/>
      <w:marTop w:val="0"/>
      <w:marBottom w:val="0"/>
      <w:divBdr>
        <w:top w:val="none" w:sz="0" w:space="0" w:color="auto"/>
        <w:left w:val="none" w:sz="0" w:space="0" w:color="auto"/>
        <w:bottom w:val="none" w:sz="0" w:space="0" w:color="auto"/>
        <w:right w:val="none" w:sz="0" w:space="0" w:color="auto"/>
      </w:divBdr>
    </w:div>
    <w:div w:id="185869387">
      <w:bodyDiv w:val="1"/>
      <w:marLeft w:val="0"/>
      <w:marRight w:val="0"/>
      <w:marTop w:val="0"/>
      <w:marBottom w:val="0"/>
      <w:divBdr>
        <w:top w:val="none" w:sz="0" w:space="0" w:color="auto"/>
        <w:left w:val="none" w:sz="0" w:space="0" w:color="auto"/>
        <w:bottom w:val="none" w:sz="0" w:space="0" w:color="auto"/>
        <w:right w:val="none" w:sz="0" w:space="0" w:color="auto"/>
      </w:divBdr>
    </w:div>
    <w:div w:id="188224034">
      <w:bodyDiv w:val="1"/>
      <w:marLeft w:val="0"/>
      <w:marRight w:val="0"/>
      <w:marTop w:val="0"/>
      <w:marBottom w:val="0"/>
      <w:divBdr>
        <w:top w:val="none" w:sz="0" w:space="0" w:color="auto"/>
        <w:left w:val="none" w:sz="0" w:space="0" w:color="auto"/>
        <w:bottom w:val="none" w:sz="0" w:space="0" w:color="auto"/>
        <w:right w:val="none" w:sz="0" w:space="0" w:color="auto"/>
      </w:divBdr>
    </w:div>
    <w:div w:id="188570436">
      <w:bodyDiv w:val="1"/>
      <w:marLeft w:val="0"/>
      <w:marRight w:val="0"/>
      <w:marTop w:val="0"/>
      <w:marBottom w:val="0"/>
      <w:divBdr>
        <w:top w:val="none" w:sz="0" w:space="0" w:color="auto"/>
        <w:left w:val="none" w:sz="0" w:space="0" w:color="auto"/>
        <w:bottom w:val="none" w:sz="0" w:space="0" w:color="auto"/>
        <w:right w:val="none" w:sz="0" w:space="0" w:color="auto"/>
      </w:divBdr>
    </w:div>
    <w:div w:id="191647006">
      <w:bodyDiv w:val="1"/>
      <w:marLeft w:val="0"/>
      <w:marRight w:val="0"/>
      <w:marTop w:val="0"/>
      <w:marBottom w:val="0"/>
      <w:divBdr>
        <w:top w:val="none" w:sz="0" w:space="0" w:color="auto"/>
        <w:left w:val="none" w:sz="0" w:space="0" w:color="auto"/>
        <w:bottom w:val="none" w:sz="0" w:space="0" w:color="auto"/>
        <w:right w:val="none" w:sz="0" w:space="0" w:color="auto"/>
      </w:divBdr>
    </w:div>
    <w:div w:id="197739819">
      <w:bodyDiv w:val="1"/>
      <w:marLeft w:val="0"/>
      <w:marRight w:val="0"/>
      <w:marTop w:val="0"/>
      <w:marBottom w:val="0"/>
      <w:divBdr>
        <w:top w:val="none" w:sz="0" w:space="0" w:color="auto"/>
        <w:left w:val="none" w:sz="0" w:space="0" w:color="auto"/>
        <w:bottom w:val="none" w:sz="0" w:space="0" w:color="auto"/>
        <w:right w:val="none" w:sz="0" w:space="0" w:color="auto"/>
      </w:divBdr>
    </w:div>
    <w:div w:id="199784220">
      <w:bodyDiv w:val="1"/>
      <w:marLeft w:val="0"/>
      <w:marRight w:val="0"/>
      <w:marTop w:val="0"/>
      <w:marBottom w:val="0"/>
      <w:divBdr>
        <w:top w:val="none" w:sz="0" w:space="0" w:color="auto"/>
        <w:left w:val="none" w:sz="0" w:space="0" w:color="auto"/>
        <w:bottom w:val="none" w:sz="0" w:space="0" w:color="auto"/>
        <w:right w:val="none" w:sz="0" w:space="0" w:color="auto"/>
      </w:divBdr>
    </w:div>
    <w:div w:id="201791567">
      <w:bodyDiv w:val="1"/>
      <w:marLeft w:val="0"/>
      <w:marRight w:val="0"/>
      <w:marTop w:val="0"/>
      <w:marBottom w:val="0"/>
      <w:divBdr>
        <w:top w:val="none" w:sz="0" w:space="0" w:color="auto"/>
        <w:left w:val="none" w:sz="0" w:space="0" w:color="auto"/>
        <w:bottom w:val="none" w:sz="0" w:space="0" w:color="auto"/>
        <w:right w:val="none" w:sz="0" w:space="0" w:color="auto"/>
      </w:divBdr>
    </w:div>
    <w:div w:id="206378133">
      <w:bodyDiv w:val="1"/>
      <w:marLeft w:val="0"/>
      <w:marRight w:val="0"/>
      <w:marTop w:val="0"/>
      <w:marBottom w:val="0"/>
      <w:divBdr>
        <w:top w:val="none" w:sz="0" w:space="0" w:color="auto"/>
        <w:left w:val="none" w:sz="0" w:space="0" w:color="auto"/>
        <w:bottom w:val="none" w:sz="0" w:space="0" w:color="auto"/>
        <w:right w:val="none" w:sz="0" w:space="0" w:color="auto"/>
      </w:divBdr>
    </w:div>
    <w:div w:id="208032766">
      <w:bodyDiv w:val="1"/>
      <w:marLeft w:val="0"/>
      <w:marRight w:val="0"/>
      <w:marTop w:val="0"/>
      <w:marBottom w:val="0"/>
      <w:divBdr>
        <w:top w:val="none" w:sz="0" w:space="0" w:color="auto"/>
        <w:left w:val="none" w:sz="0" w:space="0" w:color="auto"/>
        <w:bottom w:val="none" w:sz="0" w:space="0" w:color="auto"/>
        <w:right w:val="none" w:sz="0" w:space="0" w:color="auto"/>
      </w:divBdr>
    </w:div>
    <w:div w:id="212238283">
      <w:bodyDiv w:val="1"/>
      <w:marLeft w:val="0"/>
      <w:marRight w:val="0"/>
      <w:marTop w:val="0"/>
      <w:marBottom w:val="0"/>
      <w:divBdr>
        <w:top w:val="none" w:sz="0" w:space="0" w:color="auto"/>
        <w:left w:val="none" w:sz="0" w:space="0" w:color="auto"/>
        <w:bottom w:val="none" w:sz="0" w:space="0" w:color="auto"/>
        <w:right w:val="none" w:sz="0" w:space="0" w:color="auto"/>
      </w:divBdr>
    </w:div>
    <w:div w:id="214631401">
      <w:bodyDiv w:val="1"/>
      <w:marLeft w:val="0"/>
      <w:marRight w:val="0"/>
      <w:marTop w:val="0"/>
      <w:marBottom w:val="0"/>
      <w:divBdr>
        <w:top w:val="none" w:sz="0" w:space="0" w:color="auto"/>
        <w:left w:val="none" w:sz="0" w:space="0" w:color="auto"/>
        <w:bottom w:val="none" w:sz="0" w:space="0" w:color="auto"/>
        <w:right w:val="none" w:sz="0" w:space="0" w:color="auto"/>
      </w:divBdr>
    </w:div>
    <w:div w:id="215894339">
      <w:bodyDiv w:val="1"/>
      <w:marLeft w:val="0"/>
      <w:marRight w:val="0"/>
      <w:marTop w:val="0"/>
      <w:marBottom w:val="0"/>
      <w:divBdr>
        <w:top w:val="none" w:sz="0" w:space="0" w:color="auto"/>
        <w:left w:val="none" w:sz="0" w:space="0" w:color="auto"/>
        <w:bottom w:val="none" w:sz="0" w:space="0" w:color="auto"/>
        <w:right w:val="none" w:sz="0" w:space="0" w:color="auto"/>
      </w:divBdr>
    </w:div>
    <w:div w:id="217518450">
      <w:bodyDiv w:val="1"/>
      <w:marLeft w:val="0"/>
      <w:marRight w:val="0"/>
      <w:marTop w:val="0"/>
      <w:marBottom w:val="0"/>
      <w:divBdr>
        <w:top w:val="none" w:sz="0" w:space="0" w:color="auto"/>
        <w:left w:val="none" w:sz="0" w:space="0" w:color="auto"/>
        <w:bottom w:val="none" w:sz="0" w:space="0" w:color="auto"/>
        <w:right w:val="none" w:sz="0" w:space="0" w:color="auto"/>
      </w:divBdr>
    </w:div>
    <w:div w:id="226112185">
      <w:bodyDiv w:val="1"/>
      <w:marLeft w:val="0"/>
      <w:marRight w:val="0"/>
      <w:marTop w:val="0"/>
      <w:marBottom w:val="0"/>
      <w:divBdr>
        <w:top w:val="none" w:sz="0" w:space="0" w:color="auto"/>
        <w:left w:val="none" w:sz="0" w:space="0" w:color="auto"/>
        <w:bottom w:val="none" w:sz="0" w:space="0" w:color="auto"/>
        <w:right w:val="none" w:sz="0" w:space="0" w:color="auto"/>
      </w:divBdr>
    </w:div>
    <w:div w:id="227541338">
      <w:bodyDiv w:val="1"/>
      <w:marLeft w:val="0"/>
      <w:marRight w:val="0"/>
      <w:marTop w:val="0"/>
      <w:marBottom w:val="0"/>
      <w:divBdr>
        <w:top w:val="none" w:sz="0" w:space="0" w:color="auto"/>
        <w:left w:val="none" w:sz="0" w:space="0" w:color="auto"/>
        <w:bottom w:val="none" w:sz="0" w:space="0" w:color="auto"/>
        <w:right w:val="none" w:sz="0" w:space="0" w:color="auto"/>
      </w:divBdr>
    </w:div>
    <w:div w:id="227738172">
      <w:bodyDiv w:val="1"/>
      <w:marLeft w:val="0"/>
      <w:marRight w:val="0"/>
      <w:marTop w:val="0"/>
      <w:marBottom w:val="0"/>
      <w:divBdr>
        <w:top w:val="none" w:sz="0" w:space="0" w:color="auto"/>
        <w:left w:val="none" w:sz="0" w:space="0" w:color="auto"/>
        <w:bottom w:val="none" w:sz="0" w:space="0" w:color="auto"/>
        <w:right w:val="none" w:sz="0" w:space="0" w:color="auto"/>
      </w:divBdr>
    </w:div>
    <w:div w:id="233245090">
      <w:bodyDiv w:val="1"/>
      <w:marLeft w:val="0"/>
      <w:marRight w:val="0"/>
      <w:marTop w:val="0"/>
      <w:marBottom w:val="0"/>
      <w:divBdr>
        <w:top w:val="none" w:sz="0" w:space="0" w:color="auto"/>
        <w:left w:val="none" w:sz="0" w:space="0" w:color="auto"/>
        <w:bottom w:val="none" w:sz="0" w:space="0" w:color="auto"/>
        <w:right w:val="none" w:sz="0" w:space="0" w:color="auto"/>
      </w:divBdr>
    </w:div>
    <w:div w:id="234707584">
      <w:bodyDiv w:val="1"/>
      <w:marLeft w:val="0"/>
      <w:marRight w:val="0"/>
      <w:marTop w:val="0"/>
      <w:marBottom w:val="0"/>
      <w:divBdr>
        <w:top w:val="none" w:sz="0" w:space="0" w:color="auto"/>
        <w:left w:val="none" w:sz="0" w:space="0" w:color="auto"/>
        <w:bottom w:val="none" w:sz="0" w:space="0" w:color="auto"/>
        <w:right w:val="none" w:sz="0" w:space="0" w:color="auto"/>
      </w:divBdr>
    </w:div>
    <w:div w:id="238567072">
      <w:bodyDiv w:val="1"/>
      <w:marLeft w:val="0"/>
      <w:marRight w:val="0"/>
      <w:marTop w:val="0"/>
      <w:marBottom w:val="0"/>
      <w:divBdr>
        <w:top w:val="none" w:sz="0" w:space="0" w:color="auto"/>
        <w:left w:val="none" w:sz="0" w:space="0" w:color="auto"/>
        <w:bottom w:val="none" w:sz="0" w:space="0" w:color="auto"/>
        <w:right w:val="none" w:sz="0" w:space="0" w:color="auto"/>
      </w:divBdr>
    </w:div>
    <w:div w:id="240215727">
      <w:bodyDiv w:val="1"/>
      <w:marLeft w:val="0"/>
      <w:marRight w:val="0"/>
      <w:marTop w:val="0"/>
      <w:marBottom w:val="0"/>
      <w:divBdr>
        <w:top w:val="none" w:sz="0" w:space="0" w:color="auto"/>
        <w:left w:val="none" w:sz="0" w:space="0" w:color="auto"/>
        <w:bottom w:val="none" w:sz="0" w:space="0" w:color="auto"/>
        <w:right w:val="none" w:sz="0" w:space="0" w:color="auto"/>
      </w:divBdr>
    </w:div>
    <w:div w:id="240606352">
      <w:bodyDiv w:val="1"/>
      <w:marLeft w:val="0"/>
      <w:marRight w:val="0"/>
      <w:marTop w:val="0"/>
      <w:marBottom w:val="0"/>
      <w:divBdr>
        <w:top w:val="none" w:sz="0" w:space="0" w:color="auto"/>
        <w:left w:val="none" w:sz="0" w:space="0" w:color="auto"/>
        <w:bottom w:val="none" w:sz="0" w:space="0" w:color="auto"/>
        <w:right w:val="none" w:sz="0" w:space="0" w:color="auto"/>
      </w:divBdr>
    </w:div>
    <w:div w:id="242029846">
      <w:bodyDiv w:val="1"/>
      <w:marLeft w:val="0"/>
      <w:marRight w:val="0"/>
      <w:marTop w:val="0"/>
      <w:marBottom w:val="0"/>
      <w:divBdr>
        <w:top w:val="none" w:sz="0" w:space="0" w:color="auto"/>
        <w:left w:val="none" w:sz="0" w:space="0" w:color="auto"/>
        <w:bottom w:val="none" w:sz="0" w:space="0" w:color="auto"/>
        <w:right w:val="none" w:sz="0" w:space="0" w:color="auto"/>
      </w:divBdr>
    </w:div>
    <w:div w:id="243145483">
      <w:bodyDiv w:val="1"/>
      <w:marLeft w:val="0"/>
      <w:marRight w:val="0"/>
      <w:marTop w:val="0"/>
      <w:marBottom w:val="0"/>
      <w:divBdr>
        <w:top w:val="none" w:sz="0" w:space="0" w:color="auto"/>
        <w:left w:val="none" w:sz="0" w:space="0" w:color="auto"/>
        <w:bottom w:val="none" w:sz="0" w:space="0" w:color="auto"/>
        <w:right w:val="none" w:sz="0" w:space="0" w:color="auto"/>
      </w:divBdr>
    </w:div>
    <w:div w:id="245265438">
      <w:bodyDiv w:val="1"/>
      <w:marLeft w:val="0"/>
      <w:marRight w:val="0"/>
      <w:marTop w:val="0"/>
      <w:marBottom w:val="0"/>
      <w:divBdr>
        <w:top w:val="none" w:sz="0" w:space="0" w:color="auto"/>
        <w:left w:val="none" w:sz="0" w:space="0" w:color="auto"/>
        <w:bottom w:val="none" w:sz="0" w:space="0" w:color="auto"/>
        <w:right w:val="none" w:sz="0" w:space="0" w:color="auto"/>
      </w:divBdr>
    </w:div>
    <w:div w:id="245724894">
      <w:bodyDiv w:val="1"/>
      <w:marLeft w:val="0"/>
      <w:marRight w:val="0"/>
      <w:marTop w:val="0"/>
      <w:marBottom w:val="0"/>
      <w:divBdr>
        <w:top w:val="none" w:sz="0" w:space="0" w:color="auto"/>
        <w:left w:val="none" w:sz="0" w:space="0" w:color="auto"/>
        <w:bottom w:val="none" w:sz="0" w:space="0" w:color="auto"/>
        <w:right w:val="none" w:sz="0" w:space="0" w:color="auto"/>
      </w:divBdr>
    </w:div>
    <w:div w:id="249507160">
      <w:bodyDiv w:val="1"/>
      <w:marLeft w:val="0"/>
      <w:marRight w:val="0"/>
      <w:marTop w:val="0"/>
      <w:marBottom w:val="0"/>
      <w:divBdr>
        <w:top w:val="none" w:sz="0" w:space="0" w:color="auto"/>
        <w:left w:val="none" w:sz="0" w:space="0" w:color="auto"/>
        <w:bottom w:val="none" w:sz="0" w:space="0" w:color="auto"/>
        <w:right w:val="none" w:sz="0" w:space="0" w:color="auto"/>
      </w:divBdr>
    </w:div>
    <w:div w:id="253132097">
      <w:bodyDiv w:val="1"/>
      <w:marLeft w:val="0"/>
      <w:marRight w:val="0"/>
      <w:marTop w:val="0"/>
      <w:marBottom w:val="0"/>
      <w:divBdr>
        <w:top w:val="none" w:sz="0" w:space="0" w:color="auto"/>
        <w:left w:val="none" w:sz="0" w:space="0" w:color="auto"/>
        <w:bottom w:val="none" w:sz="0" w:space="0" w:color="auto"/>
        <w:right w:val="none" w:sz="0" w:space="0" w:color="auto"/>
      </w:divBdr>
    </w:div>
    <w:div w:id="253712616">
      <w:bodyDiv w:val="1"/>
      <w:marLeft w:val="0"/>
      <w:marRight w:val="0"/>
      <w:marTop w:val="0"/>
      <w:marBottom w:val="0"/>
      <w:divBdr>
        <w:top w:val="none" w:sz="0" w:space="0" w:color="auto"/>
        <w:left w:val="none" w:sz="0" w:space="0" w:color="auto"/>
        <w:bottom w:val="none" w:sz="0" w:space="0" w:color="auto"/>
        <w:right w:val="none" w:sz="0" w:space="0" w:color="auto"/>
      </w:divBdr>
    </w:div>
    <w:div w:id="257640495">
      <w:bodyDiv w:val="1"/>
      <w:marLeft w:val="0"/>
      <w:marRight w:val="0"/>
      <w:marTop w:val="0"/>
      <w:marBottom w:val="0"/>
      <w:divBdr>
        <w:top w:val="none" w:sz="0" w:space="0" w:color="auto"/>
        <w:left w:val="none" w:sz="0" w:space="0" w:color="auto"/>
        <w:bottom w:val="none" w:sz="0" w:space="0" w:color="auto"/>
        <w:right w:val="none" w:sz="0" w:space="0" w:color="auto"/>
      </w:divBdr>
    </w:div>
    <w:div w:id="259723299">
      <w:bodyDiv w:val="1"/>
      <w:marLeft w:val="0"/>
      <w:marRight w:val="0"/>
      <w:marTop w:val="0"/>
      <w:marBottom w:val="0"/>
      <w:divBdr>
        <w:top w:val="none" w:sz="0" w:space="0" w:color="auto"/>
        <w:left w:val="none" w:sz="0" w:space="0" w:color="auto"/>
        <w:bottom w:val="none" w:sz="0" w:space="0" w:color="auto"/>
        <w:right w:val="none" w:sz="0" w:space="0" w:color="auto"/>
      </w:divBdr>
    </w:div>
    <w:div w:id="262879449">
      <w:bodyDiv w:val="1"/>
      <w:marLeft w:val="0"/>
      <w:marRight w:val="0"/>
      <w:marTop w:val="0"/>
      <w:marBottom w:val="0"/>
      <w:divBdr>
        <w:top w:val="none" w:sz="0" w:space="0" w:color="auto"/>
        <w:left w:val="none" w:sz="0" w:space="0" w:color="auto"/>
        <w:bottom w:val="none" w:sz="0" w:space="0" w:color="auto"/>
        <w:right w:val="none" w:sz="0" w:space="0" w:color="auto"/>
      </w:divBdr>
    </w:div>
    <w:div w:id="265041542">
      <w:bodyDiv w:val="1"/>
      <w:marLeft w:val="0"/>
      <w:marRight w:val="0"/>
      <w:marTop w:val="0"/>
      <w:marBottom w:val="0"/>
      <w:divBdr>
        <w:top w:val="none" w:sz="0" w:space="0" w:color="auto"/>
        <w:left w:val="none" w:sz="0" w:space="0" w:color="auto"/>
        <w:bottom w:val="none" w:sz="0" w:space="0" w:color="auto"/>
        <w:right w:val="none" w:sz="0" w:space="0" w:color="auto"/>
      </w:divBdr>
    </w:div>
    <w:div w:id="265626438">
      <w:bodyDiv w:val="1"/>
      <w:marLeft w:val="0"/>
      <w:marRight w:val="0"/>
      <w:marTop w:val="0"/>
      <w:marBottom w:val="0"/>
      <w:divBdr>
        <w:top w:val="none" w:sz="0" w:space="0" w:color="auto"/>
        <w:left w:val="none" w:sz="0" w:space="0" w:color="auto"/>
        <w:bottom w:val="none" w:sz="0" w:space="0" w:color="auto"/>
        <w:right w:val="none" w:sz="0" w:space="0" w:color="auto"/>
      </w:divBdr>
    </w:div>
    <w:div w:id="265769293">
      <w:bodyDiv w:val="1"/>
      <w:marLeft w:val="0"/>
      <w:marRight w:val="0"/>
      <w:marTop w:val="0"/>
      <w:marBottom w:val="0"/>
      <w:divBdr>
        <w:top w:val="none" w:sz="0" w:space="0" w:color="auto"/>
        <w:left w:val="none" w:sz="0" w:space="0" w:color="auto"/>
        <w:bottom w:val="none" w:sz="0" w:space="0" w:color="auto"/>
        <w:right w:val="none" w:sz="0" w:space="0" w:color="auto"/>
      </w:divBdr>
    </w:div>
    <w:div w:id="277875946">
      <w:bodyDiv w:val="1"/>
      <w:marLeft w:val="0"/>
      <w:marRight w:val="0"/>
      <w:marTop w:val="0"/>
      <w:marBottom w:val="0"/>
      <w:divBdr>
        <w:top w:val="none" w:sz="0" w:space="0" w:color="auto"/>
        <w:left w:val="none" w:sz="0" w:space="0" w:color="auto"/>
        <w:bottom w:val="none" w:sz="0" w:space="0" w:color="auto"/>
        <w:right w:val="none" w:sz="0" w:space="0" w:color="auto"/>
      </w:divBdr>
    </w:div>
    <w:div w:id="279803003">
      <w:bodyDiv w:val="1"/>
      <w:marLeft w:val="0"/>
      <w:marRight w:val="0"/>
      <w:marTop w:val="0"/>
      <w:marBottom w:val="0"/>
      <w:divBdr>
        <w:top w:val="none" w:sz="0" w:space="0" w:color="auto"/>
        <w:left w:val="none" w:sz="0" w:space="0" w:color="auto"/>
        <w:bottom w:val="none" w:sz="0" w:space="0" w:color="auto"/>
        <w:right w:val="none" w:sz="0" w:space="0" w:color="auto"/>
      </w:divBdr>
    </w:div>
    <w:div w:id="290064093">
      <w:bodyDiv w:val="1"/>
      <w:marLeft w:val="0"/>
      <w:marRight w:val="0"/>
      <w:marTop w:val="0"/>
      <w:marBottom w:val="0"/>
      <w:divBdr>
        <w:top w:val="none" w:sz="0" w:space="0" w:color="auto"/>
        <w:left w:val="none" w:sz="0" w:space="0" w:color="auto"/>
        <w:bottom w:val="none" w:sz="0" w:space="0" w:color="auto"/>
        <w:right w:val="none" w:sz="0" w:space="0" w:color="auto"/>
      </w:divBdr>
    </w:div>
    <w:div w:id="292251041">
      <w:bodyDiv w:val="1"/>
      <w:marLeft w:val="0"/>
      <w:marRight w:val="0"/>
      <w:marTop w:val="0"/>
      <w:marBottom w:val="0"/>
      <w:divBdr>
        <w:top w:val="none" w:sz="0" w:space="0" w:color="auto"/>
        <w:left w:val="none" w:sz="0" w:space="0" w:color="auto"/>
        <w:bottom w:val="none" w:sz="0" w:space="0" w:color="auto"/>
        <w:right w:val="none" w:sz="0" w:space="0" w:color="auto"/>
      </w:divBdr>
    </w:div>
    <w:div w:id="298920838">
      <w:bodyDiv w:val="1"/>
      <w:marLeft w:val="0"/>
      <w:marRight w:val="0"/>
      <w:marTop w:val="0"/>
      <w:marBottom w:val="0"/>
      <w:divBdr>
        <w:top w:val="none" w:sz="0" w:space="0" w:color="auto"/>
        <w:left w:val="none" w:sz="0" w:space="0" w:color="auto"/>
        <w:bottom w:val="none" w:sz="0" w:space="0" w:color="auto"/>
        <w:right w:val="none" w:sz="0" w:space="0" w:color="auto"/>
      </w:divBdr>
    </w:div>
    <w:div w:id="299041564">
      <w:bodyDiv w:val="1"/>
      <w:marLeft w:val="0"/>
      <w:marRight w:val="0"/>
      <w:marTop w:val="0"/>
      <w:marBottom w:val="0"/>
      <w:divBdr>
        <w:top w:val="none" w:sz="0" w:space="0" w:color="auto"/>
        <w:left w:val="none" w:sz="0" w:space="0" w:color="auto"/>
        <w:bottom w:val="none" w:sz="0" w:space="0" w:color="auto"/>
        <w:right w:val="none" w:sz="0" w:space="0" w:color="auto"/>
      </w:divBdr>
    </w:div>
    <w:div w:id="299848449">
      <w:bodyDiv w:val="1"/>
      <w:marLeft w:val="0"/>
      <w:marRight w:val="0"/>
      <w:marTop w:val="0"/>
      <w:marBottom w:val="0"/>
      <w:divBdr>
        <w:top w:val="none" w:sz="0" w:space="0" w:color="auto"/>
        <w:left w:val="none" w:sz="0" w:space="0" w:color="auto"/>
        <w:bottom w:val="none" w:sz="0" w:space="0" w:color="auto"/>
        <w:right w:val="none" w:sz="0" w:space="0" w:color="auto"/>
      </w:divBdr>
    </w:div>
    <w:div w:id="302151994">
      <w:bodyDiv w:val="1"/>
      <w:marLeft w:val="0"/>
      <w:marRight w:val="0"/>
      <w:marTop w:val="0"/>
      <w:marBottom w:val="0"/>
      <w:divBdr>
        <w:top w:val="none" w:sz="0" w:space="0" w:color="auto"/>
        <w:left w:val="none" w:sz="0" w:space="0" w:color="auto"/>
        <w:bottom w:val="none" w:sz="0" w:space="0" w:color="auto"/>
        <w:right w:val="none" w:sz="0" w:space="0" w:color="auto"/>
      </w:divBdr>
    </w:div>
    <w:div w:id="303853832">
      <w:bodyDiv w:val="1"/>
      <w:marLeft w:val="0"/>
      <w:marRight w:val="0"/>
      <w:marTop w:val="0"/>
      <w:marBottom w:val="0"/>
      <w:divBdr>
        <w:top w:val="none" w:sz="0" w:space="0" w:color="auto"/>
        <w:left w:val="none" w:sz="0" w:space="0" w:color="auto"/>
        <w:bottom w:val="none" w:sz="0" w:space="0" w:color="auto"/>
        <w:right w:val="none" w:sz="0" w:space="0" w:color="auto"/>
      </w:divBdr>
    </w:div>
    <w:div w:id="304359850">
      <w:bodyDiv w:val="1"/>
      <w:marLeft w:val="0"/>
      <w:marRight w:val="0"/>
      <w:marTop w:val="0"/>
      <w:marBottom w:val="0"/>
      <w:divBdr>
        <w:top w:val="none" w:sz="0" w:space="0" w:color="auto"/>
        <w:left w:val="none" w:sz="0" w:space="0" w:color="auto"/>
        <w:bottom w:val="none" w:sz="0" w:space="0" w:color="auto"/>
        <w:right w:val="none" w:sz="0" w:space="0" w:color="auto"/>
      </w:divBdr>
    </w:div>
    <w:div w:id="307707427">
      <w:bodyDiv w:val="1"/>
      <w:marLeft w:val="0"/>
      <w:marRight w:val="0"/>
      <w:marTop w:val="0"/>
      <w:marBottom w:val="0"/>
      <w:divBdr>
        <w:top w:val="none" w:sz="0" w:space="0" w:color="auto"/>
        <w:left w:val="none" w:sz="0" w:space="0" w:color="auto"/>
        <w:bottom w:val="none" w:sz="0" w:space="0" w:color="auto"/>
        <w:right w:val="none" w:sz="0" w:space="0" w:color="auto"/>
      </w:divBdr>
    </w:div>
    <w:div w:id="310523290">
      <w:bodyDiv w:val="1"/>
      <w:marLeft w:val="0"/>
      <w:marRight w:val="0"/>
      <w:marTop w:val="0"/>
      <w:marBottom w:val="0"/>
      <w:divBdr>
        <w:top w:val="none" w:sz="0" w:space="0" w:color="auto"/>
        <w:left w:val="none" w:sz="0" w:space="0" w:color="auto"/>
        <w:bottom w:val="none" w:sz="0" w:space="0" w:color="auto"/>
        <w:right w:val="none" w:sz="0" w:space="0" w:color="auto"/>
      </w:divBdr>
    </w:div>
    <w:div w:id="311636542">
      <w:bodyDiv w:val="1"/>
      <w:marLeft w:val="0"/>
      <w:marRight w:val="0"/>
      <w:marTop w:val="0"/>
      <w:marBottom w:val="0"/>
      <w:divBdr>
        <w:top w:val="none" w:sz="0" w:space="0" w:color="auto"/>
        <w:left w:val="none" w:sz="0" w:space="0" w:color="auto"/>
        <w:bottom w:val="none" w:sz="0" w:space="0" w:color="auto"/>
        <w:right w:val="none" w:sz="0" w:space="0" w:color="auto"/>
      </w:divBdr>
    </w:div>
    <w:div w:id="320810437">
      <w:bodyDiv w:val="1"/>
      <w:marLeft w:val="0"/>
      <w:marRight w:val="0"/>
      <w:marTop w:val="0"/>
      <w:marBottom w:val="0"/>
      <w:divBdr>
        <w:top w:val="none" w:sz="0" w:space="0" w:color="auto"/>
        <w:left w:val="none" w:sz="0" w:space="0" w:color="auto"/>
        <w:bottom w:val="none" w:sz="0" w:space="0" w:color="auto"/>
        <w:right w:val="none" w:sz="0" w:space="0" w:color="auto"/>
      </w:divBdr>
    </w:div>
    <w:div w:id="321080195">
      <w:bodyDiv w:val="1"/>
      <w:marLeft w:val="0"/>
      <w:marRight w:val="0"/>
      <w:marTop w:val="0"/>
      <w:marBottom w:val="0"/>
      <w:divBdr>
        <w:top w:val="none" w:sz="0" w:space="0" w:color="auto"/>
        <w:left w:val="none" w:sz="0" w:space="0" w:color="auto"/>
        <w:bottom w:val="none" w:sz="0" w:space="0" w:color="auto"/>
        <w:right w:val="none" w:sz="0" w:space="0" w:color="auto"/>
      </w:divBdr>
    </w:div>
    <w:div w:id="327488910">
      <w:bodyDiv w:val="1"/>
      <w:marLeft w:val="0"/>
      <w:marRight w:val="0"/>
      <w:marTop w:val="0"/>
      <w:marBottom w:val="0"/>
      <w:divBdr>
        <w:top w:val="none" w:sz="0" w:space="0" w:color="auto"/>
        <w:left w:val="none" w:sz="0" w:space="0" w:color="auto"/>
        <w:bottom w:val="none" w:sz="0" w:space="0" w:color="auto"/>
        <w:right w:val="none" w:sz="0" w:space="0" w:color="auto"/>
      </w:divBdr>
    </w:div>
    <w:div w:id="328170030">
      <w:bodyDiv w:val="1"/>
      <w:marLeft w:val="0"/>
      <w:marRight w:val="0"/>
      <w:marTop w:val="0"/>
      <w:marBottom w:val="0"/>
      <w:divBdr>
        <w:top w:val="none" w:sz="0" w:space="0" w:color="auto"/>
        <w:left w:val="none" w:sz="0" w:space="0" w:color="auto"/>
        <w:bottom w:val="none" w:sz="0" w:space="0" w:color="auto"/>
        <w:right w:val="none" w:sz="0" w:space="0" w:color="auto"/>
      </w:divBdr>
    </w:div>
    <w:div w:id="334889940">
      <w:bodyDiv w:val="1"/>
      <w:marLeft w:val="0"/>
      <w:marRight w:val="0"/>
      <w:marTop w:val="0"/>
      <w:marBottom w:val="0"/>
      <w:divBdr>
        <w:top w:val="none" w:sz="0" w:space="0" w:color="auto"/>
        <w:left w:val="none" w:sz="0" w:space="0" w:color="auto"/>
        <w:bottom w:val="none" w:sz="0" w:space="0" w:color="auto"/>
        <w:right w:val="none" w:sz="0" w:space="0" w:color="auto"/>
      </w:divBdr>
    </w:div>
    <w:div w:id="335349360">
      <w:bodyDiv w:val="1"/>
      <w:marLeft w:val="0"/>
      <w:marRight w:val="0"/>
      <w:marTop w:val="0"/>
      <w:marBottom w:val="0"/>
      <w:divBdr>
        <w:top w:val="none" w:sz="0" w:space="0" w:color="auto"/>
        <w:left w:val="none" w:sz="0" w:space="0" w:color="auto"/>
        <w:bottom w:val="none" w:sz="0" w:space="0" w:color="auto"/>
        <w:right w:val="none" w:sz="0" w:space="0" w:color="auto"/>
      </w:divBdr>
    </w:div>
    <w:div w:id="335378157">
      <w:bodyDiv w:val="1"/>
      <w:marLeft w:val="0"/>
      <w:marRight w:val="0"/>
      <w:marTop w:val="0"/>
      <w:marBottom w:val="0"/>
      <w:divBdr>
        <w:top w:val="none" w:sz="0" w:space="0" w:color="auto"/>
        <w:left w:val="none" w:sz="0" w:space="0" w:color="auto"/>
        <w:bottom w:val="none" w:sz="0" w:space="0" w:color="auto"/>
        <w:right w:val="none" w:sz="0" w:space="0" w:color="auto"/>
      </w:divBdr>
    </w:div>
    <w:div w:id="336811094">
      <w:bodyDiv w:val="1"/>
      <w:marLeft w:val="0"/>
      <w:marRight w:val="0"/>
      <w:marTop w:val="0"/>
      <w:marBottom w:val="0"/>
      <w:divBdr>
        <w:top w:val="none" w:sz="0" w:space="0" w:color="auto"/>
        <w:left w:val="none" w:sz="0" w:space="0" w:color="auto"/>
        <w:bottom w:val="none" w:sz="0" w:space="0" w:color="auto"/>
        <w:right w:val="none" w:sz="0" w:space="0" w:color="auto"/>
      </w:divBdr>
    </w:div>
    <w:div w:id="338434082">
      <w:bodyDiv w:val="1"/>
      <w:marLeft w:val="0"/>
      <w:marRight w:val="0"/>
      <w:marTop w:val="0"/>
      <w:marBottom w:val="0"/>
      <w:divBdr>
        <w:top w:val="none" w:sz="0" w:space="0" w:color="auto"/>
        <w:left w:val="none" w:sz="0" w:space="0" w:color="auto"/>
        <w:bottom w:val="none" w:sz="0" w:space="0" w:color="auto"/>
        <w:right w:val="none" w:sz="0" w:space="0" w:color="auto"/>
      </w:divBdr>
    </w:div>
    <w:div w:id="341247399">
      <w:bodyDiv w:val="1"/>
      <w:marLeft w:val="0"/>
      <w:marRight w:val="0"/>
      <w:marTop w:val="0"/>
      <w:marBottom w:val="0"/>
      <w:divBdr>
        <w:top w:val="none" w:sz="0" w:space="0" w:color="auto"/>
        <w:left w:val="none" w:sz="0" w:space="0" w:color="auto"/>
        <w:bottom w:val="none" w:sz="0" w:space="0" w:color="auto"/>
        <w:right w:val="none" w:sz="0" w:space="0" w:color="auto"/>
      </w:divBdr>
    </w:div>
    <w:div w:id="341323548">
      <w:bodyDiv w:val="1"/>
      <w:marLeft w:val="0"/>
      <w:marRight w:val="0"/>
      <w:marTop w:val="0"/>
      <w:marBottom w:val="0"/>
      <w:divBdr>
        <w:top w:val="none" w:sz="0" w:space="0" w:color="auto"/>
        <w:left w:val="none" w:sz="0" w:space="0" w:color="auto"/>
        <w:bottom w:val="none" w:sz="0" w:space="0" w:color="auto"/>
        <w:right w:val="none" w:sz="0" w:space="0" w:color="auto"/>
      </w:divBdr>
    </w:div>
    <w:div w:id="341981038">
      <w:bodyDiv w:val="1"/>
      <w:marLeft w:val="0"/>
      <w:marRight w:val="0"/>
      <w:marTop w:val="0"/>
      <w:marBottom w:val="0"/>
      <w:divBdr>
        <w:top w:val="none" w:sz="0" w:space="0" w:color="auto"/>
        <w:left w:val="none" w:sz="0" w:space="0" w:color="auto"/>
        <w:bottom w:val="none" w:sz="0" w:space="0" w:color="auto"/>
        <w:right w:val="none" w:sz="0" w:space="0" w:color="auto"/>
      </w:divBdr>
    </w:div>
    <w:div w:id="342510034">
      <w:bodyDiv w:val="1"/>
      <w:marLeft w:val="0"/>
      <w:marRight w:val="0"/>
      <w:marTop w:val="0"/>
      <w:marBottom w:val="0"/>
      <w:divBdr>
        <w:top w:val="none" w:sz="0" w:space="0" w:color="auto"/>
        <w:left w:val="none" w:sz="0" w:space="0" w:color="auto"/>
        <w:bottom w:val="none" w:sz="0" w:space="0" w:color="auto"/>
        <w:right w:val="none" w:sz="0" w:space="0" w:color="auto"/>
      </w:divBdr>
    </w:div>
    <w:div w:id="354697244">
      <w:bodyDiv w:val="1"/>
      <w:marLeft w:val="0"/>
      <w:marRight w:val="0"/>
      <w:marTop w:val="0"/>
      <w:marBottom w:val="0"/>
      <w:divBdr>
        <w:top w:val="none" w:sz="0" w:space="0" w:color="auto"/>
        <w:left w:val="none" w:sz="0" w:space="0" w:color="auto"/>
        <w:bottom w:val="none" w:sz="0" w:space="0" w:color="auto"/>
        <w:right w:val="none" w:sz="0" w:space="0" w:color="auto"/>
      </w:divBdr>
    </w:div>
    <w:div w:id="355544746">
      <w:bodyDiv w:val="1"/>
      <w:marLeft w:val="0"/>
      <w:marRight w:val="0"/>
      <w:marTop w:val="0"/>
      <w:marBottom w:val="0"/>
      <w:divBdr>
        <w:top w:val="none" w:sz="0" w:space="0" w:color="auto"/>
        <w:left w:val="none" w:sz="0" w:space="0" w:color="auto"/>
        <w:bottom w:val="none" w:sz="0" w:space="0" w:color="auto"/>
        <w:right w:val="none" w:sz="0" w:space="0" w:color="auto"/>
      </w:divBdr>
    </w:div>
    <w:div w:id="359625880">
      <w:bodyDiv w:val="1"/>
      <w:marLeft w:val="0"/>
      <w:marRight w:val="0"/>
      <w:marTop w:val="0"/>
      <w:marBottom w:val="0"/>
      <w:divBdr>
        <w:top w:val="none" w:sz="0" w:space="0" w:color="auto"/>
        <w:left w:val="none" w:sz="0" w:space="0" w:color="auto"/>
        <w:bottom w:val="none" w:sz="0" w:space="0" w:color="auto"/>
        <w:right w:val="none" w:sz="0" w:space="0" w:color="auto"/>
      </w:divBdr>
    </w:div>
    <w:div w:id="362678039">
      <w:bodyDiv w:val="1"/>
      <w:marLeft w:val="0"/>
      <w:marRight w:val="0"/>
      <w:marTop w:val="0"/>
      <w:marBottom w:val="0"/>
      <w:divBdr>
        <w:top w:val="none" w:sz="0" w:space="0" w:color="auto"/>
        <w:left w:val="none" w:sz="0" w:space="0" w:color="auto"/>
        <w:bottom w:val="none" w:sz="0" w:space="0" w:color="auto"/>
        <w:right w:val="none" w:sz="0" w:space="0" w:color="auto"/>
      </w:divBdr>
    </w:div>
    <w:div w:id="367872197">
      <w:bodyDiv w:val="1"/>
      <w:marLeft w:val="0"/>
      <w:marRight w:val="0"/>
      <w:marTop w:val="0"/>
      <w:marBottom w:val="0"/>
      <w:divBdr>
        <w:top w:val="none" w:sz="0" w:space="0" w:color="auto"/>
        <w:left w:val="none" w:sz="0" w:space="0" w:color="auto"/>
        <w:bottom w:val="none" w:sz="0" w:space="0" w:color="auto"/>
        <w:right w:val="none" w:sz="0" w:space="0" w:color="auto"/>
      </w:divBdr>
    </w:div>
    <w:div w:id="370035912">
      <w:bodyDiv w:val="1"/>
      <w:marLeft w:val="0"/>
      <w:marRight w:val="0"/>
      <w:marTop w:val="0"/>
      <w:marBottom w:val="0"/>
      <w:divBdr>
        <w:top w:val="none" w:sz="0" w:space="0" w:color="auto"/>
        <w:left w:val="none" w:sz="0" w:space="0" w:color="auto"/>
        <w:bottom w:val="none" w:sz="0" w:space="0" w:color="auto"/>
        <w:right w:val="none" w:sz="0" w:space="0" w:color="auto"/>
      </w:divBdr>
    </w:div>
    <w:div w:id="371343422">
      <w:bodyDiv w:val="1"/>
      <w:marLeft w:val="0"/>
      <w:marRight w:val="0"/>
      <w:marTop w:val="0"/>
      <w:marBottom w:val="0"/>
      <w:divBdr>
        <w:top w:val="none" w:sz="0" w:space="0" w:color="auto"/>
        <w:left w:val="none" w:sz="0" w:space="0" w:color="auto"/>
        <w:bottom w:val="none" w:sz="0" w:space="0" w:color="auto"/>
        <w:right w:val="none" w:sz="0" w:space="0" w:color="auto"/>
      </w:divBdr>
    </w:div>
    <w:div w:id="374933944">
      <w:bodyDiv w:val="1"/>
      <w:marLeft w:val="0"/>
      <w:marRight w:val="0"/>
      <w:marTop w:val="0"/>
      <w:marBottom w:val="0"/>
      <w:divBdr>
        <w:top w:val="none" w:sz="0" w:space="0" w:color="auto"/>
        <w:left w:val="none" w:sz="0" w:space="0" w:color="auto"/>
        <w:bottom w:val="none" w:sz="0" w:space="0" w:color="auto"/>
        <w:right w:val="none" w:sz="0" w:space="0" w:color="auto"/>
      </w:divBdr>
    </w:div>
    <w:div w:id="376390907">
      <w:bodyDiv w:val="1"/>
      <w:marLeft w:val="0"/>
      <w:marRight w:val="0"/>
      <w:marTop w:val="0"/>
      <w:marBottom w:val="0"/>
      <w:divBdr>
        <w:top w:val="none" w:sz="0" w:space="0" w:color="auto"/>
        <w:left w:val="none" w:sz="0" w:space="0" w:color="auto"/>
        <w:bottom w:val="none" w:sz="0" w:space="0" w:color="auto"/>
        <w:right w:val="none" w:sz="0" w:space="0" w:color="auto"/>
      </w:divBdr>
    </w:div>
    <w:div w:id="377246781">
      <w:bodyDiv w:val="1"/>
      <w:marLeft w:val="0"/>
      <w:marRight w:val="0"/>
      <w:marTop w:val="0"/>
      <w:marBottom w:val="0"/>
      <w:divBdr>
        <w:top w:val="none" w:sz="0" w:space="0" w:color="auto"/>
        <w:left w:val="none" w:sz="0" w:space="0" w:color="auto"/>
        <w:bottom w:val="none" w:sz="0" w:space="0" w:color="auto"/>
        <w:right w:val="none" w:sz="0" w:space="0" w:color="auto"/>
      </w:divBdr>
    </w:div>
    <w:div w:id="385109807">
      <w:bodyDiv w:val="1"/>
      <w:marLeft w:val="0"/>
      <w:marRight w:val="0"/>
      <w:marTop w:val="0"/>
      <w:marBottom w:val="0"/>
      <w:divBdr>
        <w:top w:val="none" w:sz="0" w:space="0" w:color="auto"/>
        <w:left w:val="none" w:sz="0" w:space="0" w:color="auto"/>
        <w:bottom w:val="none" w:sz="0" w:space="0" w:color="auto"/>
        <w:right w:val="none" w:sz="0" w:space="0" w:color="auto"/>
      </w:divBdr>
    </w:div>
    <w:div w:id="395787200">
      <w:bodyDiv w:val="1"/>
      <w:marLeft w:val="0"/>
      <w:marRight w:val="0"/>
      <w:marTop w:val="0"/>
      <w:marBottom w:val="0"/>
      <w:divBdr>
        <w:top w:val="none" w:sz="0" w:space="0" w:color="auto"/>
        <w:left w:val="none" w:sz="0" w:space="0" w:color="auto"/>
        <w:bottom w:val="none" w:sz="0" w:space="0" w:color="auto"/>
        <w:right w:val="none" w:sz="0" w:space="0" w:color="auto"/>
      </w:divBdr>
    </w:div>
    <w:div w:id="404188413">
      <w:bodyDiv w:val="1"/>
      <w:marLeft w:val="0"/>
      <w:marRight w:val="0"/>
      <w:marTop w:val="0"/>
      <w:marBottom w:val="0"/>
      <w:divBdr>
        <w:top w:val="none" w:sz="0" w:space="0" w:color="auto"/>
        <w:left w:val="none" w:sz="0" w:space="0" w:color="auto"/>
        <w:bottom w:val="none" w:sz="0" w:space="0" w:color="auto"/>
        <w:right w:val="none" w:sz="0" w:space="0" w:color="auto"/>
      </w:divBdr>
    </w:div>
    <w:div w:id="404226119">
      <w:bodyDiv w:val="1"/>
      <w:marLeft w:val="0"/>
      <w:marRight w:val="0"/>
      <w:marTop w:val="0"/>
      <w:marBottom w:val="0"/>
      <w:divBdr>
        <w:top w:val="none" w:sz="0" w:space="0" w:color="auto"/>
        <w:left w:val="none" w:sz="0" w:space="0" w:color="auto"/>
        <w:bottom w:val="none" w:sz="0" w:space="0" w:color="auto"/>
        <w:right w:val="none" w:sz="0" w:space="0" w:color="auto"/>
      </w:divBdr>
    </w:div>
    <w:div w:id="404839861">
      <w:bodyDiv w:val="1"/>
      <w:marLeft w:val="0"/>
      <w:marRight w:val="0"/>
      <w:marTop w:val="0"/>
      <w:marBottom w:val="0"/>
      <w:divBdr>
        <w:top w:val="none" w:sz="0" w:space="0" w:color="auto"/>
        <w:left w:val="none" w:sz="0" w:space="0" w:color="auto"/>
        <w:bottom w:val="none" w:sz="0" w:space="0" w:color="auto"/>
        <w:right w:val="none" w:sz="0" w:space="0" w:color="auto"/>
      </w:divBdr>
    </w:div>
    <w:div w:id="409160724">
      <w:bodyDiv w:val="1"/>
      <w:marLeft w:val="0"/>
      <w:marRight w:val="0"/>
      <w:marTop w:val="0"/>
      <w:marBottom w:val="0"/>
      <w:divBdr>
        <w:top w:val="none" w:sz="0" w:space="0" w:color="auto"/>
        <w:left w:val="none" w:sz="0" w:space="0" w:color="auto"/>
        <w:bottom w:val="none" w:sz="0" w:space="0" w:color="auto"/>
        <w:right w:val="none" w:sz="0" w:space="0" w:color="auto"/>
      </w:divBdr>
    </w:div>
    <w:div w:id="410086582">
      <w:bodyDiv w:val="1"/>
      <w:marLeft w:val="0"/>
      <w:marRight w:val="0"/>
      <w:marTop w:val="0"/>
      <w:marBottom w:val="0"/>
      <w:divBdr>
        <w:top w:val="none" w:sz="0" w:space="0" w:color="auto"/>
        <w:left w:val="none" w:sz="0" w:space="0" w:color="auto"/>
        <w:bottom w:val="none" w:sz="0" w:space="0" w:color="auto"/>
        <w:right w:val="none" w:sz="0" w:space="0" w:color="auto"/>
      </w:divBdr>
    </w:div>
    <w:div w:id="411894171">
      <w:bodyDiv w:val="1"/>
      <w:marLeft w:val="0"/>
      <w:marRight w:val="0"/>
      <w:marTop w:val="0"/>
      <w:marBottom w:val="0"/>
      <w:divBdr>
        <w:top w:val="none" w:sz="0" w:space="0" w:color="auto"/>
        <w:left w:val="none" w:sz="0" w:space="0" w:color="auto"/>
        <w:bottom w:val="none" w:sz="0" w:space="0" w:color="auto"/>
        <w:right w:val="none" w:sz="0" w:space="0" w:color="auto"/>
      </w:divBdr>
    </w:div>
    <w:div w:id="412746468">
      <w:bodyDiv w:val="1"/>
      <w:marLeft w:val="0"/>
      <w:marRight w:val="0"/>
      <w:marTop w:val="0"/>
      <w:marBottom w:val="0"/>
      <w:divBdr>
        <w:top w:val="none" w:sz="0" w:space="0" w:color="auto"/>
        <w:left w:val="none" w:sz="0" w:space="0" w:color="auto"/>
        <w:bottom w:val="none" w:sz="0" w:space="0" w:color="auto"/>
        <w:right w:val="none" w:sz="0" w:space="0" w:color="auto"/>
      </w:divBdr>
    </w:div>
    <w:div w:id="414515463">
      <w:bodyDiv w:val="1"/>
      <w:marLeft w:val="0"/>
      <w:marRight w:val="0"/>
      <w:marTop w:val="0"/>
      <w:marBottom w:val="0"/>
      <w:divBdr>
        <w:top w:val="none" w:sz="0" w:space="0" w:color="auto"/>
        <w:left w:val="none" w:sz="0" w:space="0" w:color="auto"/>
        <w:bottom w:val="none" w:sz="0" w:space="0" w:color="auto"/>
        <w:right w:val="none" w:sz="0" w:space="0" w:color="auto"/>
      </w:divBdr>
    </w:div>
    <w:div w:id="415396702">
      <w:bodyDiv w:val="1"/>
      <w:marLeft w:val="0"/>
      <w:marRight w:val="0"/>
      <w:marTop w:val="0"/>
      <w:marBottom w:val="0"/>
      <w:divBdr>
        <w:top w:val="none" w:sz="0" w:space="0" w:color="auto"/>
        <w:left w:val="none" w:sz="0" w:space="0" w:color="auto"/>
        <w:bottom w:val="none" w:sz="0" w:space="0" w:color="auto"/>
        <w:right w:val="none" w:sz="0" w:space="0" w:color="auto"/>
      </w:divBdr>
    </w:div>
    <w:div w:id="415788748">
      <w:bodyDiv w:val="1"/>
      <w:marLeft w:val="0"/>
      <w:marRight w:val="0"/>
      <w:marTop w:val="0"/>
      <w:marBottom w:val="0"/>
      <w:divBdr>
        <w:top w:val="none" w:sz="0" w:space="0" w:color="auto"/>
        <w:left w:val="none" w:sz="0" w:space="0" w:color="auto"/>
        <w:bottom w:val="none" w:sz="0" w:space="0" w:color="auto"/>
        <w:right w:val="none" w:sz="0" w:space="0" w:color="auto"/>
      </w:divBdr>
    </w:div>
    <w:div w:id="419762109">
      <w:bodyDiv w:val="1"/>
      <w:marLeft w:val="0"/>
      <w:marRight w:val="0"/>
      <w:marTop w:val="0"/>
      <w:marBottom w:val="0"/>
      <w:divBdr>
        <w:top w:val="none" w:sz="0" w:space="0" w:color="auto"/>
        <w:left w:val="none" w:sz="0" w:space="0" w:color="auto"/>
        <w:bottom w:val="none" w:sz="0" w:space="0" w:color="auto"/>
        <w:right w:val="none" w:sz="0" w:space="0" w:color="auto"/>
      </w:divBdr>
    </w:div>
    <w:div w:id="420028700">
      <w:bodyDiv w:val="1"/>
      <w:marLeft w:val="0"/>
      <w:marRight w:val="0"/>
      <w:marTop w:val="0"/>
      <w:marBottom w:val="0"/>
      <w:divBdr>
        <w:top w:val="none" w:sz="0" w:space="0" w:color="auto"/>
        <w:left w:val="none" w:sz="0" w:space="0" w:color="auto"/>
        <w:bottom w:val="none" w:sz="0" w:space="0" w:color="auto"/>
        <w:right w:val="none" w:sz="0" w:space="0" w:color="auto"/>
      </w:divBdr>
    </w:div>
    <w:div w:id="421612544">
      <w:bodyDiv w:val="1"/>
      <w:marLeft w:val="0"/>
      <w:marRight w:val="0"/>
      <w:marTop w:val="0"/>
      <w:marBottom w:val="0"/>
      <w:divBdr>
        <w:top w:val="none" w:sz="0" w:space="0" w:color="auto"/>
        <w:left w:val="none" w:sz="0" w:space="0" w:color="auto"/>
        <w:bottom w:val="none" w:sz="0" w:space="0" w:color="auto"/>
        <w:right w:val="none" w:sz="0" w:space="0" w:color="auto"/>
      </w:divBdr>
    </w:div>
    <w:div w:id="428696828">
      <w:bodyDiv w:val="1"/>
      <w:marLeft w:val="0"/>
      <w:marRight w:val="0"/>
      <w:marTop w:val="0"/>
      <w:marBottom w:val="0"/>
      <w:divBdr>
        <w:top w:val="none" w:sz="0" w:space="0" w:color="auto"/>
        <w:left w:val="none" w:sz="0" w:space="0" w:color="auto"/>
        <w:bottom w:val="none" w:sz="0" w:space="0" w:color="auto"/>
        <w:right w:val="none" w:sz="0" w:space="0" w:color="auto"/>
      </w:divBdr>
    </w:div>
    <w:div w:id="429082837">
      <w:bodyDiv w:val="1"/>
      <w:marLeft w:val="0"/>
      <w:marRight w:val="0"/>
      <w:marTop w:val="0"/>
      <w:marBottom w:val="0"/>
      <w:divBdr>
        <w:top w:val="none" w:sz="0" w:space="0" w:color="auto"/>
        <w:left w:val="none" w:sz="0" w:space="0" w:color="auto"/>
        <w:bottom w:val="none" w:sz="0" w:space="0" w:color="auto"/>
        <w:right w:val="none" w:sz="0" w:space="0" w:color="auto"/>
      </w:divBdr>
    </w:div>
    <w:div w:id="433866972">
      <w:bodyDiv w:val="1"/>
      <w:marLeft w:val="0"/>
      <w:marRight w:val="0"/>
      <w:marTop w:val="0"/>
      <w:marBottom w:val="0"/>
      <w:divBdr>
        <w:top w:val="none" w:sz="0" w:space="0" w:color="auto"/>
        <w:left w:val="none" w:sz="0" w:space="0" w:color="auto"/>
        <w:bottom w:val="none" w:sz="0" w:space="0" w:color="auto"/>
        <w:right w:val="none" w:sz="0" w:space="0" w:color="auto"/>
      </w:divBdr>
    </w:div>
    <w:div w:id="442000920">
      <w:bodyDiv w:val="1"/>
      <w:marLeft w:val="0"/>
      <w:marRight w:val="0"/>
      <w:marTop w:val="0"/>
      <w:marBottom w:val="0"/>
      <w:divBdr>
        <w:top w:val="none" w:sz="0" w:space="0" w:color="auto"/>
        <w:left w:val="none" w:sz="0" w:space="0" w:color="auto"/>
        <w:bottom w:val="none" w:sz="0" w:space="0" w:color="auto"/>
        <w:right w:val="none" w:sz="0" w:space="0" w:color="auto"/>
      </w:divBdr>
    </w:div>
    <w:div w:id="443308946">
      <w:bodyDiv w:val="1"/>
      <w:marLeft w:val="0"/>
      <w:marRight w:val="0"/>
      <w:marTop w:val="0"/>
      <w:marBottom w:val="0"/>
      <w:divBdr>
        <w:top w:val="none" w:sz="0" w:space="0" w:color="auto"/>
        <w:left w:val="none" w:sz="0" w:space="0" w:color="auto"/>
        <w:bottom w:val="none" w:sz="0" w:space="0" w:color="auto"/>
        <w:right w:val="none" w:sz="0" w:space="0" w:color="auto"/>
      </w:divBdr>
    </w:div>
    <w:div w:id="444345565">
      <w:bodyDiv w:val="1"/>
      <w:marLeft w:val="0"/>
      <w:marRight w:val="0"/>
      <w:marTop w:val="0"/>
      <w:marBottom w:val="0"/>
      <w:divBdr>
        <w:top w:val="none" w:sz="0" w:space="0" w:color="auto"/>
        <w:left w:val="none" w:sz="0" w:space="0" w:color="auto"/>
        <w:bottom w:val="none" w:sz="0" w:space="0" w:color="auto"/>
        <w:right w:val="none" w:sz="0" w:space="0" w:color="auto"/>
      </w:divBdr>
    </w:div>
    <w:div w:id="444544220">
      <w:bodyDiv w:val="1"/>
      <w:marLeft w:val="0"/>
      <w:marRight w:val="0"/>
      <w:marTop w:val="0"/>
      <w:marBottom w:val="0"/>
      <w:divBdr>
        <w:top w:val="none" w:sz="0" w:space="0" w:color="auto"/>
        <w:left w:val="none" w:sz="0" w:space="0" w:color="auto"/>
        <w:bottom w:val="none" w:sz="0" w:space="0" w:color="auto"/>
        <w:right w:val="none" w:sz="0" w:space="0" w:color="auto"/>
      </w:divBdr>
    </w:div>
    <w:div w:id="445392378">
      <w:bodyDiv w:val="1"/>
      <w:marLeft w:val="0"/>
      <w:marRight w:val="0"/>
      <w:marTop w:val="0"/>
      <w:marBottom w:val="0"/>
      <w:divBdr>
        <w:top w:val="none" w:sz="0" w:space="0" w:color="auto"/>
        <w:left w:val="none" w:sz="0" w:space="0" w:color="auto"/>
        <w:bottom w:val="none" w:sz="0" w:space="0" w:color="auto"/>
        <w:right w:val="none" w:sz="0" w:space="0" w:color="auto"/>
      </w:divBdr>
    </w:div>
    <w:div w:id="449209828">
      <w:bodyDiv w:val="1"/>
      <w:marLeft w:val="0"/>
      <w:marRight w:val="0"/>
      <w:marTop w:val="0"/>
      <w:marBottom w:val="0"/>
      <w:divBdr>
        <w:top w:val="none" w:sz="0" w:space="0" w:color="auto"/>
        <w:left w:val="none" w:sz="0" w:space="0" w:color="auto"/>
        <w:bottom w:val="none" w:sz="0" w:space="0" w:color="auto"/>
        <w:right w:val="none" w:sz="0" w:space="0" w:color="auto"/>
      </w:divBdr>
    </w:div>
    <w:div w:id="450520652">
      <w:bodyDiv w:val="1"/>
      <w:marLeft w:val="0"/>
      <w:marRight w:val="0"/>
      <w:marTop w:val="0"/>
      <w:marBottom w:val="0"/>
      <w:divBdr>
        <w:top w:val="none" w:sz="0" w:space="0" w:color="auto"/>
        <w:left w:val="none" w:sz="0" w:space="0" w:color="auto"/>
        <w:bottom w:val="none" w:sz="0" w:space="0" w:color="auto"/>
        <w:right w:val="none" w:sz="0" w:space="0" w:color="auto"/>
      </w:divBdr>
    </w:div>
    <w:div w:id="451023923">
      <w:bodyDiv w:val="1"/>
      <w:marLeft w:val="0"/>
      <w:marRight w:val="0"/>
      <w:marTop w:val="0"/>
      <w:marBottom w:val="0"/>
      <w:divBdr>
        <w:top w:val="none" w:sz="0" w:space="0" w:color="auto"/>
        <w:left w:val="none" w:sz="0" w:space="0" w:color="auto"/>
        <w:bottom w:val="none" w:sz="0" w:space="0" w:color="auto"/>
        <w:right w:val="none" w:sz="0" w:space="0" w:color="auto"/>
      </w:divBdr>
    </w:div>
    <w:div w:id="453523074">
      <w:bodyDiv w:val="1"/>
      <w:marLeft w:val="0"/>
      <w:marRight w:val="0"/>
      <w:marTop w:val="0"/>
      <w:marBottom w:val="0"/>
      <w:divBdr>
        <w:top w:val="none" w:sz="0" w:space="0" w:color="auto"/>
        <w:left w:val="none" w:sz="0" w:space="0" w:color="auto"/>
        <w:bottom w:val="none" w:sz="0" w:space="0" w:color="auto"/>
        <w:right w:val="none" w:sz="0" w:space="0" w:color="auto"/>
      </w:divBdr>
    </w:div>
    <w:div w:id="455833110">
      <w:bodyDiv w:val="1"/>
      <w:marLeft w:val="0"/>
      <w:marRight w:val="0"/>
      <w:marTop w:val="0"/>
      <w:marBottom w:val="0"/>
      <w:divBdr>
        <w:top w:val="none" w:sz="0" w:space="0" w:color="auto"/>
        <w:left w:val="none" w:sz="0" w:space="0" w:color="auto"/>
        <w:bottom w:val="none" w:sz="0" w:space="0" w:color="auto"/>
        <w:right w:val="none" w:sz="0" w:space="0" w:color="auto"/>
      </w:divBdr>
    </w:div>
    <w:div w:id="455948103">
      <w:bodyDiv w:val="1"/>
      <w:marLeft w:val="0"/>
      <w:marRight w:val="0"/>
      <w:marTop w:val="0"/>
      <w:marBottom w:val="0"/>
      <w:divBdr>
        <w:top w:val="none" w:sz="0" w:space="0" w:color="auto"/>
        <w:left w:val="none" w:sz="0" w:space="0" w:color="auto"/>
        <w:bottom w:val="none" w:sz="0" w:space="0" w:color="auto"/>
        <w:right w:val="none" w:sz="0" w:space="0" w:color="auto"/>
      </w:divBdr>
    </w:div>
    <w:div w:id="459570646">
      <w:bodyDiv w:val="1"/>
      <w:marLeft w:val="0"/>
      <w:marRight w:val="0"/>
      <w:marTop w:val="0"/>
      <w:marBottom w:val="0"/>
      <w:divBdr>
        <w:top w:val="none" w:sz="0" w:space="0" w:color="auto"/>
        <w:left w:val="none" w:sz="0" w:space="0" w:color="auto"/>
        <w:bottom w:val="none" w:sz="0" w:space="0" w:color="auto"/>
        <w:right w:val="none" w:sz="0" w:space="0" w:color="auto"/>
      </w:divBdr>
    </w:div>
    <w:div w:id="463961948">
      <w:bodyDiv w:val="1"/>
      <w:marLeft w:val="0"/>
      <w:marRight w:val="0"/>
      <w:marTop w:val="0"/>
      <w:marBottom w:val="0"/>
      <w:divBdr>
        <w:top w:val="none" w:sz="0" w:space="0" w:color="auto"/>
        <w:left w:val="none" w:sz="0" w:space="0" w:color="auto"/>
        <w:bottom w:val="none" w:sz="0" w:space="0" w:color="auto"/>
        <w:right w:val="none" w:sz="0" w:space="0" w:color="auto"/>
      </w:divBdr>
    </w:div>
    <w:div w:id="465242819">
      <w:bodyDiv w:val="1"/>
      <w:marLeft w:val="0"/>
      <w:marRight w:val="0"/>
      <w:marTop w:val="0"/>
      <w:marBottom w:val="0"/>
      <w:divBdr>
        <w:top w:val="none" w:sz="0" w:space="0" w:color="auto"/>
        <w:left w:val="none" w:sz="0" w:space="0" w:color="auto"/>
        <w:bottom w:val="none" w:sz="0" w:space="0" w:color="auto"/>
        <w:right w:val="none" w:sz="0" w:space="0" w:color="auto"/>
      </w:divBdr>
    </w:div>
    <w:div w:id="467476922">
      <w:bodyDiv w:val="1"/>
      <w:marLeft w:val="0"/>
      <w:marRight w:val="0"/>
      <w:marTop w:val="0"/>
      <w:marBottom w:val="0"/>
      <w:divBdr>
        <w:top w:val="none" w:sz="0" w:space="0" w:color="auto"/>
        <w:left w:val="none" w:sz="0" w:space="0" w:color="auto"/>
        <w:bottom w:val="none" w:sz="0" w:space="0" w:color="auto"/>
        <w:right w:val="none" w:sz="0" w:space="0" w:color="auto"/>
      </w:divBdr>
    </w:div>
    <w:div w:id="467631596">
      <w:bodyDiv w:val="1"/>
      <w:marLeft w:val="0"/>
      <w:marRight w:val="0"/>
      <w:marTop w:val="0"/>
      <w:marBottom w:val="0"/>
      <w:divBdr>
        <w:top w:val="none" w:sz="0" w:space="0" w:color="auto"/>
        <w:left w:val="none" w:sz="0" w:space="0" w:color="auto"/>
        <w:bottom w:val="none" w:sz="0" w:space="0" w:color="auto"/>
        <w:right w:val="none" w:sz="0" w:space="0" w:color="auto"/>
      </w:divBdr>
    </w:div>
    <w:div w:id="468285856">
      <w:bodyDiv w:val="1"/>
      <w:marLeft w:val="0"/>
      <w:marRight w:val="0"/>
      <w:marTop w:val="0"/>
      <w:marBottom w:val="0"/>
      <w:divBdr>
        <w:top w:val="none" w:sz="0" w:space="0" w:color="auto"/>
        <w:left w:val="none" w:sz="0" w:space="0" w:color="auto"/>
        <w:bottom w:val="none" w:sz="0" w:space="0" w:color="auto"/>
        <w:right w:val="none" w:sz="0" w:space="0" w:color="auto"/>
      </w:divBdr>
    </w:div>
    <w:div w:id="471219579">
      <w:bodyDiv w:val="1"/>
      <w:marLeft w:val="0"/>
      <w:marRight w:val="0"/>
      <w:marTop w:val="0"/>
      <w:marBottom w:val="0"/>
      <w:divBdr>
        <w:top w:val="none" w:sz="0" w:space="0" w:color="auto"/>
        <w:left w:val="none" w:sz="0" w:space="0" w:color="auto"/>
        <w:bottom w:val="none" w:sz="0" w:space="0" w:color="auto"/>
        <w:right w:val="none" w:sz="0" w:space="0" w:color="auto"/>
      </w:divBdr>
    </w:div>
    <w:div w:id="472217706">
      <w:bodyDiv w:val="1"/>
      <w:marLeft w:val="0"/>
      <w:marRight w:val="0"/>
      <w:marTop w:val="0"/>
      <w:marBottom w:val="0"/>
      <w:divBdr>
        <w:top w:val="none" w:sz="0" w:space="0" w:color="auto"/>
        <w:left w:val="none" w:sz="0" w:space="0" w:color="auto"/>
        <w:bottom w:val="none" w:sz="0" w:space="0" w:color="auto"/>
        <w:right w:val="none" w:sz="0" w:space="0" w:color="auto"/>
      </w:divBdr>
    </w:div>
    <w:div w:id="475493491">
      <w:bodyDiv w:val="1"/>
      <w:marLeft w:val="0"/>
      <w:marRight w:val="0"/>
      <w:marTop w:val="0"/>
      <w:marBottom w:val="0"/>
      <w:divBdr>
        <w:top w:val="none" w:sz="0" w:space="0" w:color="auto"/>
        <w:left w:val="none" w:sz="0" w:space="0" w:color="auto"/>
        <w:bottom w:val="none" w:sz="0" w:space="0" w:color="auto"/>
        <w:right w:val="none" w:sz="0" w:space="0" w:color="auto"/>
      </w:divBdr>
    </w:div>
    <w:div w:id="482889805">
      <w:bodyDiv w:val="1"/>
      <w:marLeft w:val="0"/>
      <w:marRight w:val="0"/>
      <w:marTop w:val="0"/>
      <w:marBottom w:val="0"/>
      <w:divBdr>
        <w:top w:val="none" w:sz="0" w:space="0" w:color="auto"/>
        <w:left w:val="none" w:sz="0" w:space="0" w:color="auto"/>
        <w:bottom w:val="none" w:sz="0" w:space="0" w:color="auto"/>
        <w:right w:val="none" w:sz="0" w:space="0" w:color="auto"/>
      </w:divBdr>
    </w:div>
    <w:div w:id="484467592">
      <w:bodyDiv w:val="1"/>
      <w:marLeft w:val="0"/>
      <w:marRight w:val="0"/>
      <w:marTop w:val="0"/>
      <w:marBottom w:val="0"/>
      <w:divBdr>
        <w:top w:val="none" w:sz="0" w:space="0" w:color="auto"/>
        <w:left w:val="none" w:sz="0" w:space="0" w:color="auto"/>
        <w:bottom w:val="none" w:sz="0" w:space="0" w:color="auto"/>
        <w:right w:val="none" w:sz="0" w:space="0" w:color="auto"/>
      </w:divBdr>
    </w:div>
    <w:div w:id="485244821">
      <w:bodyDiv w:val="1"/>
      <w:marLeft w:val="0"/>
      <w:marRight w:val="0"/>
      <w:marTop w:val="0"/>
      <w:marBottom w:val="0"/>
      <w:divBdr>
        <w:top w:val="none" w:sz="0" w:space="0" w:color="auto"/>
        <w:left w:val="none" w:sz="0" w:space="0" w:color="auto"/>
        <w:bottom w:val="none" w:sz="0" w:space="0" w:color="auto"/>
        <w:right w:val="none" w:sz="0" w:space="0" w:color="auto"/>
      </w:divBdr>
    </w:div>
    <w:div w:id="490758928">
      <w:bodyDiv w:val="1"/>
      <w:marLeft w:val="0"/>
      <w:marRight w:val="0"/>
      <w:marTop w:val="0"/>
      <w:marBottom w:val="0"/>
      <w:divBdr>
        <w:top w:val="none" w:sz="0" w:space="0" w:color="auto"/>
        <w:left w:val="none" w:sz="0" w:space="0" w:color="auto"/>
        <w:bottom w:val="none" w:sz="0" w:space="0" w:color="auto"/>
        <w:right w:val="none" w:sz="0" w:space="0" w:color="auto"/>
      </w:divBdr>
    </w:div>
    <w:div w:id="491599934">
      <w:bodyDiv w:val="1"/>
      <w:marLeft w:val="0"/>
      <w:marRight w:val="0"/>
      <w:marTop w:val="0"/>
      <w:marBottom w:val="0"/>
      <w:divBdr>
        <w:top w:val="none" w:sz="0" w:space="0" w:color="auto"/>
        <w:left w:val="none" w:sz="0" w:space="0" w:color="auto"/>
        <w:bottom w:val="none" w:sz="0" w:space="0" w:color="auto"/>
        <w:right w:val="none" w:sz="0" w:space="0" w:color="auto"/>
      </w:divBdr>
    </w:div>
    <w:div w:id="492531537">
      <w:bodyDiv w:val="1"/>
      <w:marLeft w:val="0"/>
      <w:marRight w:val="0"/>
      <w:marTop w:val="0"/>
      <w:marBottom w:val="0"/>
      <w:divBdr>
        <w:top w:val="none" w:sz="0" w:space="0" w:color="auto"/>
        <w:left w:val="none" w:sz="0" w:space="0" w:color="auto"/>
        <w:bottom w:val="none" w:sz="0" w:space="0" w:color="auto"/>
        <w:right w:val="none" w:sz="0" w:space="0" w:color="auto"/>
      </w:divBdr>
    </w:div>
    <w:div w:id="495996041">
      <w:bodyDiv w:val="1"/>
      <w:marLeft w:val="0"/>
      <w:marRight w:val="0"/>
      <w:marTop w:val="0"/>
      <w:marBottom w:val="0"/>
      <w:divBdr>
        <w:top w:val="none" w:sz="0" w:space="0" w:color="auto"/>
        <w:left w:val="none" w:sz="0" w:space="0" w:color="auto"/>
        <w:bottom w:val="none" w:sz="0" w:space="0" w:color="auto"/>
        <w:right w:val="none" w:sz="0" w:space="0" w:color="auto"/>
      </w:divBdr>
    </w:div>
    <w:div w:id="497966785">
      <w:bodyDiv w:val="1"/>
      <w:marLeft w:val="0"/>
      <w:marRight w:val="0"/>
      <w:marTop w:val="0"/>
      <w:marBottom w:val="0"/>
      <w:divBdr>
        <w:top w:val="none" w:sz="0" w:space="0" w:color="auto"/>
        <w:left w:val="none" w:sz="0" w:space="0" w:color="auto"/>
        <w:bottom w:val="none" w:sz="0" w:space="0" w:color="auto"/>
        <w:right w:val="none" w:sz="0" w:space="0" w:color="auto"/>
      </w:divBdr>
    </w:div>
    <w:div w:id="499271948">
      <w:bodyDiv w:val="1"/>
      <w:marLeft w:val="0"/>
      <w:marRight w:val="0"/>
      <w:marTop w:val="0"/>
      <w:marBottom w:val="0"/>
      <w:divBdr>
        <w:top w:val="none" w:sz="0" w:space="0" w:color="auto"/>
        <w:left w:val="none" w:sz="0" w:space="0" w:color="auto"/>
        <w:bottom w:val="none" w:sz="0" w:space="0" w:color="auto"/>
        <w:right w:val="none" w:sz="0" w:space="0" w:color="auto"/>
      </w:divBdr>
    </w:div>
    <w:div w:id="500241455">
      <w:bodyDiv w:val="1"/>
      <w:marLeft w:val="0"/>
      <w:marRight w:val="0"/>
      <w:marTop w:val="0"/>
      <w:marBottom w:val="0"/>
      <w:divBdr>
        <w:top w:val="none" w:sz="0" w:space="0" w:color="auto"/>
        <w:left w:val="none" w:sz="0" w:space="0" w:color="auto"/>
        <w:bottom w:val="none" w:sz="0" w:space="0" w:color="auto"/>
        <w:right w:val="none" w:sz="0" w:space="0" w:color="auto"/>
      </w:divBdr>
    </w:div>
    <w:div w:id="507410011">
      <w:bodyDiv w:val="1"/>
      <w:marLeft w:val="0"/>
      <w:marRight w:val="0"/>
      <w:marTop w:val="0"/>
      <w:marBottom w:val="0"/>
      <w:divBdr>
        <w:top w:val="none" w:sz="0" w:space="0" w:color="auto"/>
        <w:left w:val="none" w:sz="0" w:space="0" w:color="auto"/>
        <w:bottom w:val="none" w:sz="0" w:space="0" w:color="auto"/>
        <w:right w:val="none" w:sz="0" w:space="0" w:color="auto"/>
      </w:divBdr>
    </w:div>
    <w:div w:id="510607595">
      <w:bodyDiv w:val="1"/>
      <w:marLeft w:val="0"/>
      <w:marRight w:val="0"/>
      <w:marTop w:val="0"/>
      <w:marBottom w:val="0"/>
      <w:divBdr>
        <w:top w:val="none" w:sz="0" w:space="0" w:color="auto"/>
        <w:left w:val="none" w:sz="0" w:space="0" w:color="auto"/>
        <w:bottom w:val="none" w:sz="0" w:space="0" w:color="auto"/>
        <w:right w:val="none" w:sz="0" w:space="0" w:color="auto"/>
      </w:divBdr>
    </w:div>
    <w:div w:id="517550738">
      <w:bodyDiv w:val="1"/>
      <w:marLeft w:val="0"/>
      <w:marRight w:val="0"/>
      <w:marTop w:val="0"/>
      <w:marBottom w:val="0"/>
      <w:divBdr>
        <w:top w:val="none" w:sz="0" w:space="0" w:color="auto"/>
        <w:left w:val="none" w:sz="0" w:space="0" w:color="auto"/>
        <w:bottom w:val="none" w:sz="0" w:space="0" w:color="auto"/>
        <w:right w:val="none" w:sz="0" w:space="0" w:color="auto"/>
      </w:divBdr>
    </w:div>
    <w:div w:id="521554155">
      <w:bodyDiv w:val="1"/>
      <w:marLeft w:val="0"/>
      <w:marRight w:val="0"/>
      <w:marTop w:val="0"/>
      <w:marBottom w:val="0"/>
      <w:divBdr>
        <w:top w:val="none" w:sz="0" w:space="0" w:color="auto"/>
        <w:left w:val="none" w:sz="0" w:space="0" w:color="auto"/>
        <w:bottom w:val="none" w:sz="0" w:space="0" w:color="auto"/>
        <w:right w:val="none" w:sz="0" w:space="0" w:color="auto"/>
      </w:divBdr>
    </w:div>
    <w:div w:id="523251666">
      <w:bodyDiv w:val="1"/>
      <w:marLeft w:val="0"/>
      <w:marRight w:val="0"/>
      <w:marTop w:val="0"/>
      <w:marBottom w:val="0"/>
      <w:divBdr>
        <w:top w:val="none" w:sz="0" w:space="0" w:color="auto"/>
        <w:left w:val="none" w:sz="0" w:space="0" w:color="auto"/>
        <w:bottom w:val="none" w:sz="0" w:space="0" w:color="auto"/>
        <w:right w:val="none" w:sz="0" w:space="0" w:color="auto"/>
      </w:divBdr>
    </w:div>
    <w:div w:id="525412191">
      <w:bodyDiv w:val="1"/>
      <w:marLeft w:val="0"/>
      <w:marRight w:val="0"/>
      <w:marTop w:val="0"/>
      <w:marBottom w:val="0"/>
      <w:divBdr>
        <w:top w:val="none" w:sz="0" w:space="0" w:color="auto"/>
        <w:left w:val="none" w:sz="0" w:space="0" w:color="auto"/>
        <w:bottom w:val="none" w:sz="0" w:space="0" w:color="auto"/>
        <w:right w:val="none" w:sz="0" w:space="0" w:color="auto"/>
      </w:divBdr>
    </w:div>
    <w:div w:id="527521644">
      <w:bodyDiv w:val="1"/>
      <w:marLeft w:val="0"/>
      <w:marRight w:val="0"/>
      <w:marTop w:val="0"/>
      <w:marBottom w:val="0"/>
      <w:divBdr>
        <w:top w:val="none" w:sz="0" w:space="0" w:color="auto"/>
        <w:left w:val="none" w:sz="0" w:space="0" w:color="auto"/>
        <w:bottom w:val="none" w:sz="0" w:space="0" w:color="auto"/>
        <w:right w:val="none" w:sz="0" w:space="0" w:color="auto"/>
      </w:divBdr>
    </w:div>
    <w:div w:id="529806109">
      <w:bodyDiv w:val="1"/>
      <w:marLeft w:val="0"/>
      <w:marRight w:val="0"/>
      <w:marTop w:val="0"/>
      <w:marBottom w:val="0"/>
      <w:divBdr>
        <w:top w:val="none" w:sz="0" w:space="0" w:color="auto"/>
        <w:left w:val="none" w:sz="0" w:space="0" w:color="auto"/>
        <w:bottom w:val="none" w:sz="0" w:space="0" w:color="auto"/>
        <w:right w:val="none" w:sz="0" w:space="0" w:color="auto"/>
      </w:divBdr>
    </w:div>
    <w:div w:id="535167376">
      <w:bodyDiv w:val="1"/>
      <w:marLeft w:val="0"/>
      <w:marRight w:val="0"/>
      <w:marTop w:val="0"/>
      <w:marBottom w:val="0"/>
      <w:divBdr>
        <w:top w:val="none" w:sz="0" w:space="0" w:color="auto"/>
        <w:left w:val="none" w:sz="0" w:space="0" w:color="auto"/>
        <w:bottom w:val="none" w:sz="0" w:space="0" w:color="auto"/>
        <w:right w:val="none" w:sz="0" w:space="0" w:color="auto"/>
      </w:divBdr>
    </w:div>
    <w:div w:id="535776304">
      <w:bodyDiv w:val="1"/>
      <w:marLeft w:val="0"/>
      <w:marRight w:val="0"/>
      <w:marTop w:val="0"/>
      <w:marBottom w:val="0"/>
      <w:divBdr>
        <w:top w:val="none" w:sz="0" w:space="0" w:color="auto"/>
        <w:left w:val="none" w:sz="0" w:space="0" w:color="auto"/>
        <w:bottom w:val="none" w:sz="0" w:space="0" w:color="auto"/>
        <w:right w:val="none" w:sz="0" w:space="0" w:color="auto"/>
      </w:divBdr>
    </w:div>
    <w:div w:id="536743112">
      <w:bodyDiv w:val="1"/>
      <w:marLeft w:val="0"/>
      <w:marRight w:val="0"/>
      <w:marTop w:val="0"/>
      <w:marBottom w:val="0"/>
      <w:divBdr>
        <w:top w:val="none" w:sz="0" w:space="0" w:color="auto"/>
        <w:left w:val="none" w:sz="0" w:space="0" w:color="auto"/>
        <w:bottom w:val="none" w:sz="0" w:space="0" w:color="auto"/>
        <w:right w:val="none" w:sz="0" w:space="0" w:color="auto"/>
      </w:divBdr>
    </w:div>
    <w:div w:id="537746761">
      <w:bodyDiv w:val="1"/>
      <w:marLeft w:val="0"/>
      <w:marRight w:val="0"/>
      <w:marTop w:val="0"/>
      <w:marBottom w:val="0"/>
      <w:divBdr>
        <w:top w:val="none" w:sz="0" w:space="0" w:color="auto"/>
        <w:left w:val="none" w:sz="0" w:space="0" w:color="auto"/>
        <w:bottom w:val="none" w:sz="0" w:space="0" w:color="auto"/>
        <w:right w:val="none" w:sz="0" w:space="0" w:color="auto"/>
      </w:divBdr>
    </w:div>
    <w:div w:id="538862129">
      <w:bodyDiv w:val="1"/>
      <w:marLeft w:val="0"/>
      <w:marRight w:val="0"/>
      <w:marTop w:val="0"/>
      <w:marBottom w:val="0"/>
      <w:divBdr>
        <w:top w:val="none" w:sz="0" w:space="0" w:color="auto"/>
        <w:left w:val="none" w:sz="0" w:space="0" w:color="auto"/>
        <w:bottom w:val="none" w:sz="0" w:space="0" w:color="auto"/>
        <w:right w:val="none" w:sz="0" w:space="0" w:color="auto"/>
      </w:divBdr>
    </w:div>
    <w:div w:id="542134111">
      <w:bodyDiv w:val="1"/>
      <w:marLeft w:val="0"/>
      <w:marRight w:val="0"/>
      <w:marTop w:val="0"/>
      <w:marBottom w:val="0"/>
      <w:divBdr>
        <w:top w:val="none" w:sz="0" w:space="0" w:color="auto"/>
        <w:left w:val="none" w:sz="0" w:space="0" w:color="auto"/>
        <w:bottom w:val="none" w:sz="0" w:space="0" w:color="auto"/>
        <w:right w:val="none" w:sz="0" w:space="0" w:color="auto"/>
      </w:divBdr>
    </w:div>
    <w:div w:id="543561609">
      <w:bodyDiv w:val="1"/>
      <w:marLeft w:val="0"/>
      <w:marRight w:val="0"/>
      <w:marTop w:val="0"/>
      <w:marBottom w:val="0"/>
      <w:divBdr>
        <w:top w:val="none" w:sz="0" w:space="0" w:color="auto"/>
        <w:left w:val="none" w:sz="0" w:space="0" w:color="auto"/>
        <w:bottom w:val="none" w:sz="0" w:space="0" w:color="auto"/>
        <w:right w:val="none" w:sz="0" w:space="0" w:color="auto"/>
      </w:divBdr>
    </w:div>
    <w:div w:id="545457861">
      <w:bodyDiv w:val="1"/>
      <w:marLeft w:val="0"/>
      <w:marRight w:val="0"/>
      <w:marTop w:val="0"/>
      <w:marBottom w:val="0"/>
      <w:divBdr>
        <w:top w:val="none" w:sz="0" w:space="0" w:color="auto"/>
        <w:left w:val="none" w:sz="0" w:space="0" w:color="auto"/>
        <w:bottom w:val="none" w:sz="0" w:space="0" w:color="auto"/>
        <w:right w:val="none" w:sz="0" w:space="0" w:color="auto"/>
      </w:divBdr>
    </w:div>
    <w:div w:id="546837899">
      <w:bodyDiv w:val="1"/>
      <w:marLeft w:val="0"/>
      <w:marRight w:val="0"/>
      <w:marTop w:val="0"/>
      <w:marBottom w:val="0"/>
      <w:divBdr>
        <w:top w:val="none" w:sz="0" w:space="0" w:color="auto"/>
        <w:left w:val="none" w:sz="0" w:space="0" w:color="auto"/>
        <w:bottom w:val="none" w:sz="0" w:space="0" w:color="auto"/>
        <w:right w:val="none" w:sz="0" w:space="0" w:color="auto"/>
      </w:divBdr>
    </w:div>
    <w:div w:id="549801779">
      <w:bodyDiv w:val="1"/>
      <w:marLeft w:val="0"/>
      <w:marRight w:val="0"/>
      <w:marTop w:val="0"/>
      <w:marBottom w:val="0"/>
      <w:divBdr>
        <w:top w:val="none" w:sz="0" w:space="0" w:color="auto"/>
        <w:left w:val="none" w:sz="0" w:space="0" w:color="auto"/>
        <w:bottom w:val="none" w:sz="0" w:space="0" w:color="auto"/>
        <w:right w:val="none" w:sz="0" w:space="0" w:color="auto"/>
      </w:divBdr>
    </w:div>
    <w:div w:id="553931101">
      <w:bodyDiv w:val="1"/>
      <w:marLeft w:val="0"/>
      <w:marRight w:val="0"/>
      <w:marTop w:val="0"/>
      <w:marBottom w:val="0"/>
      <w:divBdr>
        <w:top w:val="none" w:sz="0" w:space="0" w:color="auto"/>
        <w:left w:val="none" w:sz="0" w:space="0" w:color="auto"/>
        <w:bottom w:val="none" w:sz="0" w:space="0" w:color="auto"/>
        <w:right w:val="none" w:sz="0" w:space="0" w:color="auto"/>
      </w:divBdr>
    </w:div>
    <w:div w:id="554438511">
      <w:bodyDiv w:val="1"/>
      <w:marLeft w:val="0"/>
      <w:marRight w:val="0"/>
      <w:marTop w:val="0"/>
      <w:marBottom w:val="0"/>
      <w:divBdr>
        <w:top w:val="none" w:sz="0" w:space="0" w:color="auto"/>
        <w:left w:val="none" w:sz="0" w:space="0" w:color="auto"/>
        <w:bottom w:val="none" w:sz="0" w:space="0" w:color="auto"/>
        <w:right w:val="none" w:sz="0" w:space="0" w:color="auto"/>
      </w:divBdr>
    </w:div>
    <w:div w:id="556665625">
      <w:bodyDiv w:val="1"/>
      <w:marLeft w:val="0"/>
      <w:marRight w:val="0"/>
      <w:marTop w:val="0"/>
      <w:marBottom w:val="0"/>
      <w:divBdr>
        <w:top w:val="none" w:sz="0" w:space="0" w:color="auto"/>
        <w:left w:val="none" w:sz="0" w:space="0" w:color="auto"/>
        <w:bottom w:val="none" w:sz="0" w:space="0" w:color="auto"/>
        <w:right w:val="none" w:sz="0" w:space="0" w:color="auto"/>
      </w:divBdr>
    </w:div>
    <w:div w:id="560601921">
      <w:bodyDiv w:val="1"/>
      <w:marLeft w:val="0"/>
      <w:marRight w:val="0"/>
      <w:marTop w:val="0"/>
      <w:marBottom w:val="0"/>
      <w:divBdr>
        <w:top w:val="none" w:sz="0" w:space="0" w:color="auto"/>
        <w:left w:val="none" w:sz="0" w:space="0" w:color="auto"/>
        <w:bottom w:val="none" w:sz="0" w:space="0" w:color="auto"/>
        <w:right w:val="none" w:sz="0" w:space="0" w:color="auto"/>
      </w:divBdr>
    </w:div>
    <w:div w:id="567376067">
      <w:bodyDiv w:val="1"/>
      <w:marLeft w:val="0"/>
      <w:marRight w:val="0"/>
      <w:marTop w:val="0"/>
      <w:marBottom w:val="0"/>
      <w:divBdr>
        <w:top w:val="none" w:sz="0" w:space="0" w:color="auto"/>
        <w:left w:val="none" w:sz="0" w:space="0" w:color="auto"/>
        <w:bottom w:val="none" w:sz="0" w:space="0" w:color="auto"/>
        <w:right w:val="none" w:sz="0" w:space="0" w:color="auto"/>
      </w:divBdr>
    </w:div>
    <w:div w:id="567962927">
      <w:bodyDiv w:val="1"/>
      <w:marLeft w:val="0"/>
      <w:marRight w:val="0"/>
      <w:marTop w:val="0"/>
      <w:marBottom w:val="0"/>
      <w:divBdr>
        <w:top w:val="none" w:sz="0" w:space="0" w:color="auto"/>
        <w:left w:val="none" w:sz="0" w:space="0" w:color="auto"/>
        <w:bottom w:val="none" w:sz="0" w:space="0" w:color="auto"/>
        <w:right w:val="none" w:sz="0" w:space="0" w:color="auto"/>
      </w:divBdr>
    </w:div>
    <w:div w:id="569195830">
      <w:bodyDiv w:val="1"/>
      <w:marLeft w:val="0"/>
      <w:marRight w:val="0"/>
      <w:marTop w:val="0"/>
      <w:marBottom w:val="0"/>
      <w:divBdr>
        <w:top w:val="none" w:sz="0" w:space="0" w:color="auto"/>
        <w:left w:val="none" w:sz="0" w:space="0" w:color="auto"/>
        <w:bottom w:val="none" w:sz="0" w:space="0" w:color="auto"/>
        <w:right w:val="none" w:sz="0" w:space="0" w:color="auto"/>
      </w:divBdr>
    </w:div>
    <w:div w:id="569534273">
      <w:bodyDiv w:val="1"/>
      <w:marLeft w:val="0"/>
      <w:marRight w:val="0"/>
      <w:marTop w:val="0"/>
      <w:marBottom w:val="0"/>
      <w:divBdr>
        <w:top w:val="none" w:sz="0" w:space="0" w:color="auto"/>
        <w:left w:val="none" w:sz="0" w:space="0" w:color="auto"/>
        <w:bottom w:val="none" w:sz="0" w:space="0" w:color="auto"/>
        <w:right w:val="none" w:sz="0" w:space="0" w:color="auto"/>
      </w:divBdr>
    </w:div>
    <w:div w:id="570503149">
      <w:bodyDiv w:val="1"/>
      <w:marLeft w:val="0"/>
      <w:marRight w:val="0"/>
      <w:marTop w:val="0"/>
      <w:marBottom w:val="0"/>
      <w:divBdr>
        <w:top w:val="none" w:sz="0" w:space="0" w:color="auto"/>
        <w:left w:val="none" w:sz="0" w:space="0" w:color="auto"/>
        <w:bottom w:val="none" w:sz="0" w:space="0" w:color="auto"/>
        <w:right w:val="none" w:sz="0" w:space="0" w:color="auto"/>
      </w:divBdr>
    </w:div>
    <w:div w:id="571768653">
      <w:bodyDiv w:val="1"/>
      <w:marLeft w:val="0"/>
      <w:marRight w:val="0"/>
      <w:marTop w:val="0"/>
      <w:marBottom w:val="0"/>
      <w:divBdr>
        <w:top w:val="none" w:sz="0" w:space="0" w:color="auto"/>
        <w:left w:val="none" w:sz="0" w:space="0" w:color="auto"/>
        <w:bottom w:val="none" w:sz="0" w:space="0" w:color="auto"/>
        <w:right w:val="none" w:sz="0" w:space="0" w:color="auto"/>
      </w:divBdr>
    </w:div>
    <w:div w:id="572665963">
      <w:bodyDiv w:val="1"/>
      <w:marLeft w:val="0"/>
      <w:marRight w:val="0"/>
      <w:marTop w:val="0"/>
      <w:marBottom w:val="0"/>
      <w:divBdr>
        <w:top w:val="none" w:sz="0" w:space="0" w:color="auto"/>
        <w:left w:val="none" w:sz="0" w:space="0" w:color="auto"/>
        <w:bottom w:val="none" w:sz="0" w:space="0" w:color="auto"/>
        <w:right w:val="none" w:sz="0" w:space="0" w:color="auto"/>
      </w:divBdr>
    </w:div>
    <w:div w:id="578445240">
      <w:bodyDiv w:val="1"/>
      <w:marLeft w:val="0"/>
      <w:marRight w:val="0"/>
      <w:marTop w:val="0"/>
      <w:marBottom w:val="0"/>
      <w:divBdr>
        <w:top w:val="none" w:sz="0" w:space="0" w:color="auto"/>
        <w:left w:val="none" w:sz="0" w:space="0" w:color="auto"/>
        <w:bottom w:val="none" w:sz="0" w:space="0" w:color="auto"/>
        <w:right w:val="none" w:sz="0" w:space="0" w:color="auto"/>
      </w:divBdr>
    </w:div>
    <w:div w:id="578446370">
      <w:bodyDiv w:val="1"/>
      <w:marLeft w:val="0"/>
      <w:marRight w:val="0"/>
      <w:marTop w:val="0"/>
      <w:marBottom w:val="0"/>
      <w:divBdr>
        <w:top w:val="none" w:sz="0" w:space="0" w:color="auto"/>
        <w:left w:val="none" w:sz="0" w:space="0" w:color="auto"/>
        <w:bottom w:val="none" w:sz="0" w:space="0" w:color="auto"/>
        <w:right w:val="none" w:sz="0" w:space="0" w:color="auto"/>
      </w:divBdr>
    </w:div>
    <w:div w:id="583033653">
      <w:bodyDiv w:val="1"/>
      <w:marLeft w:val="0"/>
      <w:marRight w:val="0"/>
      <w:marTop w:val="0"/>
      <w:marBottom w:val="0"/>
      <w:divBdr>
        <w:top w:val="none" w:sz="0" w:space="0" w:color="auto"/>
        <w:left w:val="none" w:sz="0" w:space="0" w:color="auto"/>
        <w:bottom w:val="none" w:sz="0" w:space="0" w:color="auto"/>
        <w:right w:val="none" w:sz="0" w:space="0" w:color="auto"/>
      </w:divBdr>
    </w:div>
    <w:div w:id="583489048">
      <w:bodyDiv w:val="1"/>
      <w:marLeft w:val="0"/>
      <w:marRight w:val="0"/>
      <w:marTop w:val="0"/>
      <w:marBottom w:val="0"/>
      <w:divBdr>
        <w:top w:val="none" w:sz="0" w:space="0" w:color="auto"/>
        <w:left w:val="none" w:sz="0" w:space="0" w:color="auto"/>
        <w:bottom w:val="none" w:sz="0" w:space="0" w:color="auto"/>
        <w:right w:val="none" w:sz="0" w:space="0" w:color="auto"/>
      </w:divBdr>
    </w:div>
    <w:div w:id="583953185">
      <w:bodyDiv w:val="1"/>
      <w:marLeft w:val="0"/>
      <w:marRight w:val="0"/>
      <w:marTop w:val="0"/>
      <w:marBottom w:val="0"/>
      <w:divBdr>
        <w:top w:val="none" w:sz="0" w:space="0" w:color="auto"/>
        <w:left w:val="none" w:sz="0" w:space="0" w:color="auto"/>
        <w:bottom w:val="none" w:sz="0" w:space="0" w:color="auto"/>
        <w:right w:val="none" w:sz="0" w:space="0" w:color="auto"/>
      </w:divBdr>
    </w:div>
    <w:div w:id="584413095">
      <w:bodyDiv w:val="1"/>
      <w:marLeft w:val="0"/>
      <w:marRight w:val="0"/>
      <w:marTop w:val="0"/>
      <w:marBottom w:val="0"/>
      <w:divBdr>
        <w:top w:val="none" w:sz="0" w:space="0" w:color="auto"/>
        <w:left w:val="none" w:sz="0" w:space="0" w:color="auto"/>
        <w:bottom w:val="none" w:sz="0" w:space="0" w:color="auto"/>
        <w:right w:val="none" w:sz="0" w:space="0" w:color="auto"/>
      </w:divBdr>
    </w:div>
    <w:div w:id="586041511">
      <w:bodyDiv w:val="1"/>
      <w:marLeft w:val="0"/>
      <w:marRight w:val="0"/>
      <w:marTop w:val="0"/>
      <w:marBottom w:val="0"/>
      <w:divBdr>
        <w:top w:val="none" w:sz="0" w:space="0" w:color="auto"/>
        <w:left w:val="none" w:sz="0" w:space="0" w:color="auto"/>
        <w:bottom w:val="none" w:sz="0" w:space="0" w:color="auto"/>
        <w:right w:val="none" w:sz="0" w:space="0" w:color="auto"/>
      </w:divBdr>
    </w:div>
    <w:div w:id="587732382">
      <w:bodyDiv w:val="1"/>
      <w:marLeft w:val="0"/>
      <w:marRight w:val="0"/>
      <w:marTop w:val="0"/>
      <w:marBottom w:val="0"/>
      <w:divBdr>
        <w:top w:val="none" w:sz="0" w:space="0" w:color="auto"/>
        <w:left w:val="none" w:sz="0" w:space="0" w:color="auto"/>
        <w:bottom w:val="none" w:sz="0" w:space="0" w:color="auto"/>
        <w:right w:val="none" w:sz="0" w:space="0" w:color="auto"/>
      </w:divBdr>
    </w:div>
    <w:div w:id="595985994">
      <w:bodyDiv w:val="1"/>
      <w:marLeft w:val="0"/>
      <w:marRight w:val="0"/>
      <w:marTop w:val="0"/>
      <w:marBottom w:val="0"/>
      <w:divBdr>
        <w:top w:val="none" w:sz="0" w:space="0" w:color="auto"/>
        <w:left w:val="none" w:sz="0" w:space="0" w:color="auto"/>
        <w:bottom w:val="none" w:sz="0" w:space="0" w:color="auto"/>
        <w:right w:val="none" w:sz="0" w:space="0" w:color="auto"/>
      </w:divBdr>
    </w:div>
    <w:div w:id="598174028">
      <w:bodyDiv w:val="1"/>
      <w:marLeft w:val="0"/>
      <w:marRight w:val="0"/>
      <w:marTop w:val="0"/>
      <w:marBottom w:val="0"/>
      <w:divBdr>
        <w:top w:val="none" w:sz="0" w:space="0" w:color="auto"/>
        <w:left w:val="none" w:sz="0" w:space="0" w:color="auto"/>
        <w:bottom w:val="none" w:sz="0" w:space="0" w:color="auto"/>
        <w:right w:val="none" w:sz="0" w:space="0" w:color="auto"/>
      </w:divBdr>
    </w:div>
    <w:div w:id="603728784">
      <w:bodyDiv w:val="1"/>
      <w:marLeft w:val="0"/>
      <w:marRight w:val="0"/>
      <w:marTop w:val="0"/>
      <w:marBottom w:val="0"/>
      <w:divBdr>
        <w:top w:val="none" w:sz="0" w:space="0" w:color="auto"/>
        <w:left w:val="none" w:sz="0" w:space="0" w:color="auto"/>
        <w:bottom w:val="none" w:sz="0" w:space="0" w:color="auto"/>
        <w:right w:val="none" w:sz="0" w:space="0" w:color="auto"/>
      </w:divBdr>
    </w:div>
    <w:div w:id="605889171">
      <w:bodyDiv w:val="1"/>
      <w:marLeft w:val="0"/>
      <w:marRight w:val="0"/>
      <w:marTop w:val="0"/>
      <w:marBottom w:val="0"/>
      <w:divBdr>
        <w:top w:val="none" w:sz="0" w:space="0" w:color="auto"/>
        <w:left w:val="none" w:sz="0" w:space="0" w:color="auto"/>
        <w:bottom w:val="none" w:sz="0" w:space="0" w:color="auto"/>
        <w:right w:val="none" w:sz="0" w:space="0" w:color="auto"/>
      </w:divBdr>
    </w:div>
    <w:div w:id="608389136">
      <w:bodyDiv w:val="1"/>
      <w:marLeft w:val="0"/>
      <w:marRight w:val="0"/>
      <w:marTop w:val="0"/>
      <w:marBottom w:val="0"/>
      <w:divBdr>
        <w:top w:val="none" w:sz="0" w:space="0" w:color="auto"/>
        <w:left w:val="none" w:sz="0" w:space="0" w:color="auto"/>
        <w:bottom w:val="none" w:sz="0" w:space="0" w:color="auto"/>
        <w:right w:val="none" w:sz="0" w:space="0" w:color="auto"/>
      </w:divBdr>
    </w:div>
    <w:div w:id="612786460">
      <w:bodyDiv w:val="1"/>
      <w:marLeft w:val="0"/>
      <w:marRight w:val="0"/>
      <w:marTop w:val="0"/>
      <w:marBottom w:val="0"/>
      <w:divBdr>
        <w:top w:val="none" w:sz="0" w:space="0" w:color="auto"/>
        <w:left w:val="none" w:sz="0" w:space="0" w:color="auto"/>
        <w:bottom w:val="none" w:sz="0" w:space="0" w:color="auto"/>
        <w:right w:val="none" w:sz="0" w:space="0" w:color="auto"/>
      </w:divBdr>
    </w:div>
    <w:div w:id="620964432">
      <w:bodyDiv w:val="1"/>
      <w:marLeft w:val="0"/>
      <w:marRight w:val="0"/>
      <w:marTop w:val="0"/>
      <w:marBottom w:val="0"/>
      <w:divBdr>
        <w:top w:val="none" w:sz="0" w:space="0" w:color="auto"/>
        <w:left w:val="none" w:sz="0" w:space="0" w:color="auto"/>
        <w:bottom w:val="none" w:sz="0" w:space="0" w:color="auto"/>
        <w:right w:val="none" w:sz="0" w:space="0" w:color="auto"/>
      </w:divBdr>
    </w:div>
    <w:div w:id="623998351">
      <w:bodyDiv w:val="1"/>
      <w:marLeft w:val="0"/>
      <w:marRight w:val="0"/>
      <w:marTop w:val="0"/>
      <w:marBottom w:val="0"/>
      <w:divBdr>
        <w:top w:val="none" w:sz="0" w:space="0" w:color="auto"/>
        <w:left w:val="none" w:sz="0" w:space="0" w:color="auto"/>
        <w:bottom w:val="none" w:sz="0" w:space="0" w:color="auto"/>
        <w:right w:val="none" w:sz="0" w:space="0" w:color="auto"/>
      </w:divBdr>
    </w:div>
    <w:div w:id="646325937">
      <w:bodyDiv w:val="1"/>
      <w:marLeft w:val="0"/>
      <w:marRight w:val="0"/>
      <w:marTop w:val="0"/>
      <w:marBottom w:val="0"/>
      <w:divBdr>
        <w:top w:val="none" w:sz="0" w:space="0" w:color="auto"/>
        <w:left w:val="none" w:sz="0" w:space="0" w:color="auto"/>
        <w:bottom w:val="none" w:sz="0" w:space="0" w:color="auto"/>
        <w:right w:val="none" w:sz="0" w:space="0" w:color="auto"/>
      </w:divBdr>
    </w:div>
    <w:div w:id="651639606">
      <w:bodyDiv w:val="1"/>
      <w:marLeft w:val="0"/>
      <w:marRight w:val="0"/>
      <w:marTop w:val="0"/>
      <w:marBottom w:val="0"/>
      <w:divBdr>
        <w:top w:val="none" w:sz="0" w:space="0" w:color="auto"/>
        <w:left w:val="none" w:sz="0" w:space="0" w:color="auto"/>
        <w:bottom w:val="none" w:sz="0" w:space="0" w:color="auto"/>
        <w:right w:val="none" w:sz="0" w:space="0" w:color="auto"/>
      </w:divBdr>
    </w:div>
    <w:div w:id="660700738">
      <w:bodyDiv w:val="1"/>
      <w:marLeft w:val="0"/>
      <w:marRight w:val="0"/>
      <w:marTop w:val="0"/>
      <w:marBottom w:val="0"/>
      <w:divBdr>
        <w:top w:val="none" w:sz="0" w:space="0" w:color="auto"/>
        <w:left w:val="none" w:sz="0" w:space="0" w:color="auto"/>
        <w:bottom w:val="none" w:sz="0" w:space="0" w:color="auto"/>
        <w:right w:val="none" w:sz="0" w:space="0" w:color="auto"/>
      </w:divBdr>
    </w:div>
    <w:div w:id="662855000">
      <w:bodyDiv w:val="1"/>
      <w:marLeft w:val="0"/>
      <w:marRight w:val="0"/>
      <w:marTop w:val="0"/>
      <w:marBottom w:val="0"/>
      <w:divBdr>
        <w:top w:val="none" w:sz="0" w:space="0" w:color="auto"/>
        <w:left w:val="none" w:sz="0" w:space="0" w:color="auto"/>
        <w:bottom w:val="none" w:sz="0" w:space="0" w:color="auto"/>
        <w:right w:val="none" w:sz="0" w:space="0" w:color="auto"/>
      </w:divBdr>
    </w:div>
    <w:div w:id="664169344">
      <w:bodyDiv w:val="1"/>
      <w:marLeft w:val="0"/>
      <w:marRight w:val="0"/>
      <w:marTop w:val="0"/>
      <w:marBottom w:val="0"/>
      <w:divBdr>
        <w:top w:val="none" w:sz="0" w:space="0" w:color="auto"/>
        <w:left w:val="none" w:sz="0" w:space="0" w:color="auto"/>
        <w:bottom w:val="none" w:sz="0" w:space="0" w:color="auto"/>
        <w:right w:val="none" w:sz="0" w:space="0" w:color="auto"/>
      </w:divBdr>
    </w:div>
    <w:div w:id="667247516">
      <w:bodyDiv w:val="1"/>
      <w:marLeft w:val="0"/>
      <w:marRight w:val="0"/>
      <w:marTop w:val="0"/>
      <w:marBottom w:val="0"/>
      <w:divBdr>
        <w:top w:val="none" w:sz="0" w:space="0" w:color="auto"/>
        <w:left w:val="none" w:sz="0" w:space="0" w:color="auto"/>
        <w:bottom w:val="none" w:sz="0" w:space="0" w:color="auto"/>
        <w:right w:val="none" w:sz="0" w:space="0" w:color="auto"/>
      </w:divBdr>
    </w:div>
    <w:div w:id="667826653">
      <w:bodyDiv w:val="1"/>
      <w:marLeft w:val="0"/>
      <w:marRight w:val="0"/>
      <w:marTop w:val="0"/>
      <w:marBottom w:val="0"/>
      <w:divBdr>
        <w:top w:val="none" w:sz="0" w:space="0" w:color="auto"/>
        <w:left w:val="none" w:sz="0" w:space="0" w:color="auto"/>
        <w:bottom w:val="none" w:sz="0" w:space="0" w:color="auto"/>
        <w:right w:val="none" w:sz="0" w:space="0" w:color="auto"/>
      </w:divBdr>
    </w:div>
    <w:div w:id="668219643">
      <w:bodyDiv w:val="1"/>
      <w:marLeft w:val="0"/>
      <w:marRight w:val="0"/>
      <w:marTop w:val="0"/>
      <w:marBottom w:val="0"/>
      <w:divBdr>
        <w:top w:val="none" w:sz="0" w:space="0" w:color="auto"/>
        <w:left w:val="none" w:sz="0" w:space="0" w:color="auto"/>
        <w:bottom w:val="none" w:sz="0" w:space="0" w:color="auto"/>
        <w:right w:val="none" w:sz="0" w:space="0" w:color="auto"/>
      </w:divBdr>
    </w:div>
    <w:div w:id="668874687">
      <w:bodyDiv w:val="1"/>
      <w:marLeft w:val="0"/>
      <w:marRight w:val="0"/>
      <w:marTop w:val="0"/>
      <w:marBottom w:val="0"/>
      <w:divBdr>
        <w:top w:val="none" w:sz="0" w:space="0" w:color="auto"/>
        <w:left w:val="none" w:sz="0" w:space="0" w:color="auto"/>
        <w:bottom w:val="none" w:sz="0" w:space="0" w:color="auto"/>
        <w:right w:val="none" w:sz="0" w:space="0" w:color="auto"/>
      </w:divBdr>
    </w:div>
    <w:div w:id="671492593">
      <w:bodyDiv w:val="1"/>
      <w:marLeft w:val="0"/>
      <w:marRight w:val="0"/>
      <w:marTop w:val="0"/>
      <w:marBottom w:val="0"/>
      <w:divBdr>
        <w:top w:val="none" w:sz="0" w:space="0" w:color="auto"/>
        <w:left w:val="none" w:sz="0" w:space="0" w:color="auto"/>
        <w:bottom w:val="none" w:sz="0" w:space="0" w:color="auto"/>
        <w:right w:val="none" w:sz="0" w:space="0" w:color="auto"/>
      </w:divBdr>
    </w:div>
    <w:div w:id="672029761">
      <w:bodyDiv w:val="1"/>
      <w:marLeft w:val="0"/>
      <w:marRight w:val="0"/>
      <w:marTop w:val="0"/>
      <w:marBottom w:val="0"/>
      <w:divBdr>
        <w:top w:val="none" w:sz="0" w:space="0" w:color="auto"/>
        <w:left w:val="none" w:sz="0" w:space="0" w:color="auto"/>
        <w:bottom w:val="none" w:sz="0" w:space="0" w:color="auto"/>
        <w:right w:val="none" w:sz="0" w:space="0" w:color="auto"/>
      </w:divBdr>
    </w:div>
    <w:div w:id="672146339">
      <w:bodyDiv w:val="1"/>
      <w:marLeft w:val="0"/>
      <w:marRight w:val="0"/>
      <w:marTop w:val="0"/>
      <w:marBottom w:val="0"/>
      <w:divBdr>
        <w:top w:val="none" w:sz="0" w:space="0" w:color="auto"/>
        <w:left w:val="none" w:sz="0" w:space="0" w:color="auto"/>
        <w:bottom w:val="none" w:sz="0" w:space="0" w:color="auto"/>
        <w:right w:val="none" w:sz="0" w:space="0" w:color="auto"/>
      </w:divBdr>
    </w:div>
    <w:div w:id="674264900">
      <w:bodyDiv w:val="1"/>
      <w:marLeft w:val="0"/>
      <w:marRight w:val="0"/>
      <w:marTop w:val="0"/>
      <w:marBottom w:val="0"/>
      <w:divBdr>
        <w:top w:val="none" w:sz="0" w:space="0" w:color="auto"/>
        <w:left w:val="none" w:sz="0" w:space="0" w:color="auto"/>
        <w:bottom w:val="none" w:sz="0" w:space="0" w:color="auto"/>
        <w:right w:val="none" w:sz="0" w:space="0" w:color="auto"/>
      </w:divBdr>
    </w:div>
    <w:div w:id="677929725">
      <w:bodyDiv w:val="1"/>
      <w:marLeft w:val="0"/>
      <w:marRight w:val="0"/>
      <w:marTop w:val="0"/>
      <w:marBottom w:val="0"/>
      <w:divBdr>
        <w:top w:val="none" w:sz="0" w:space="0" w:color="auto"/>
        <w:left w:val="none" w:sz="0" w:space="0" w:color="auto"/>
        <w:bottom w:val="none" w:sz="0" w:space="0" w:color="auto"/>
        <w:right w:val="none" w:sz="0" w:space="0" w:color="auto"/>
      </w:divBdr>
    </w:div>
    <w:div w:id="678192402">
      <w:bodyDiv w:val="1"/>
      <w:marLeft w:val="0"/>
      <w:marRight w:val="0"/>
      <w:marTop w:val="0"/>
      <w:marBottom w:val="0"/>
      <w:divBdr>
        <w:top w:val="none" w:sz="0" w:space="0" w:color="auto"/>
        <w:left w:val="none" w:sz="0" w:space="0" w:color="auto"/>
        <w:bottom w:val="none" w:sz="0" w:space="0" w:color="auto"/>
        <w:right w:val="none" w:sz="0" w:space="0" w:color="auto"/>
      </w:divBdr>
    </w:div>
    <w:div w:id="678197390">
      <w:bodyDiv w:val="1"/>
      <w:marLeft w:val="0"/>
      <w:marRight w:val="0"/>
      <w:marTop w:val="0"/>
      <w:marBottom w:val="0"/>
      <w:divBdr>
        <w:top w:val="none" w:sz="0" w:space="0" w:color="auto"/>
        <w:left w:val="none" w:sz="0" w:space="0" w:color="auto"/>
        <w:bottom w:val="none" w:sz="0" w:space="0" w:color="auto"/>
        <w:right w:val="none" w:sz="0" w:space="0" w:color="auto"/>
      </w:divBdr>
    </w:div>
    <w:div w:id="681010945">
      <w:bodyDiv w:val="1"/>
      <w:marLeft w:val="0"/>
      <w:marRight w:val="0"/>
      <w:marTop w:val="0"/>
      <w:marBottom w:val="0"/>
      <w:divBdr>
        <w:top w:val="none" w:sz="0" w:space="0" w:color="auto"/>
        <w:left w:val="none" w:sz="0" w:space="0" w:color="auto"/>
        <w:bottom w:val="none" w:sz="0" w:space="0" w:color="auto"/>
        <w:right w:val="none" w:sz="0" w:space="0" w:color="auto"/>
      </w:divBdr>
    </w:div>
    <w:div w:id="685598514">
      <w:bodyDiv w:val="1"/>
      <w:marLeft w:val="0"/>
      <w:marRight w:val="0"/>
      <w:marTop w:val="0"/>
      <w:marBottom w:val="0"/>
      <w:divBdr>
        <w:top w:val="none" w:sz="0" w:space="0" w:color="auto"/>
        <w:left w:val="none" w:sz="0" w:space="0" w:color="auto"/>
        <w:bottom w:val="none" w:sz="0" w:space="0" w:color="auto"/>
        <w:right w:val="none" w:sz="0" w:space="0" w:color="auto"/>
      </w:divBdr>
    </w:div>
    <w:div w:id="694577770">
      <w:bodyDiv w:val="1"/>
      <w:marLeft w:val="0"/>
      <w:marRight w:val="0"/>
      <w:marTop w:val="0"/>
      <w:marBottom w:val="0"/>
      <w:divBdr>
        <w:top w:val="none" w:sz="0" w:space="0" w:color="auto"/>
        <w:left w:val="none" w:sz="0" w:space="0" w:color="auto"/>
        <w:bottom w:val="none" w:sz="0" w:space="0" w:color="auto"/>
        <w:right w:val="none" w:sz="0" w:space="0" w:color="auto"/>
      </w:divBdr>
    </w:div>
    <w:div w:id="697975018">
      <w:bodyDiv w:val="1"/>
      <w:marLeft w:val="0"/>
      <w:marRight w:val="0"/>
      <w:marTop w:val="0"/>
      <w:marBottom w:val="0"/>
      <w:divBdr>
        <w:top w:val="none" w:sz="0" w:space="0" w:color="auto"/>
        <w:left w:val="none" w:sz="0" w:space="0" w:color="auto"/>
        <w:bottom w:val="none" w:sz="0" w:space="0" w:color="auto"/>
        <w:right w:val="none" w:sz="0" w:space="0" w:color="auto"/>
      </w:divBdr>
    </w:div>
    <w:div w:id="699746478">
      <w:bodyDiv w:val="1"/>
      <w:marLeft w:val="0"/>
      <w:marRight w:val="0"/>
      <w:marTop w:val="0"/>
      <w:marBottom w:val="0"/>
      <w:divBdr>
        <w:top w:val="none" w:sz="0" w:space="0" w:color="auto"/>
        <w:left w:val="none" w:sz="0" w:space="0" w:color="auto"/>
        <w:bottom w:val="none" w:sz="0" w:space="0" w:color="auto"/>
        <w:right w:val="none" w:sz="0" w:space="0" w:color="auto"/>
      </w:divBdr>
    </w:div>
    <w:div w:id="700085055">
      <w:bodyDiv w:val="1"/>
      <w:marLeft w:val="0"/>
      <w:marRight w:val="0"/>
      <w:marTop w:val="0"/>
      <w:marBottom w:val="0"/>
      <w:divBdr>
        <w:top w:val="none" w:sz="0" w:space="0" w:color="auto"/>
        <w:left w:val="none" w:sz="0" w:space="0" w:color="auto"/>
        <w:bottom w:val="none" w:sz="0" w:space="0" w:color="auto"/>
        <w:right w:val="none" w:sz="0" w:space="0" w:color="auto"/>
      </w:divBdr>
    </w:div>
    <w:div w:id="701634596">
      <w:bodyDiv w:val="1"/>
      <w:marLeft w:val="0"/>
      <w:marRight w:val="0"/>
      <w:marTop w:val="0"/>
      <w:marBottom w:val="0"/>
      <w:divBdr>
        <w:top w:val="none" w:sz="0" w:space="0" w:color="auto"/>
        <w:left w:val="none" w:sz="0" w:space="0" w:color="auto"/>
        <w:bottom w:val="none" w:sz="0" w:space="0" w:color="auto"/>
        <w:right w:val="none" w:sz="0" w:space="0" w:color="auto"/>
      </w:divBdr>
    </w:div>
    <w:div w:id="704529074">
      <w:bodyDiv w:val="1"/>
      <w:marLeft w:val="0"/>
      <w:marRight w:val="0"/>
      <w:marTop w:val="0"/>
      <w:marBottom w:val="0"/>
      <w:divBdr>
        <w:top w:val="none" w:sz="0" w:space="0" w:color="auto"/>
        <w:left w:val="none" w:sz="0" w:space="0" w:color="auto"/>
        <w:bottom w:val="none" w:sz="0" w:space="0" w:color="auto"/>
        <w:right w:val="none" w:sz="0" w:space="0" w:color="auto"/>
      </w:divBdr>
    </w:div>
    <w:div w:id="707875146">
      <w:bodyDiv w:val="1"/>
      <w:marLeft w:val="0"/>
      <w:marRight w:val="0"/>
      <w:marTop w:val="0"/>
      <w:marBottom w:val="0"/>
      <w:divBdr>
        <w:top w:val="none" w:sz="0" w:space="0" w:color="auto"/>
        <w:left w:val="none" w:sz="0" w:space="0" w:color="auto"/>
        <w:bottom w:val="none" w:sz="0" w:space="0" w:color="auto"/>
        <w:right w:val="none" w:sz="0" w:space="0" w:color="auto"/>
      </w:divBdr>
    </w:div>
    <w:div w:id="710954193">
      <w:bodyDiv w:val="1"/>
      <w:marLeft w:val="0"/>
      <w:marRight w:val="0"/>
      <w:marTop w:val="0"/>
      <w:marBottom w:val="0"/>
      <w:divBdr>
        <w:top w:val="none" w:sz="0" w:space="0" w:color="auto"/>
        <w:left w:val="none" w:sz="0" w:space="0" w:color="auto"/>
        <w:bottom w:val="none" w:sz="0" w:space="0" w:color="auto"/>
        <w:right w:val="none" w:sz="0" w:space="0" w:color="auto"/>
      </w:divBdr>
    </w:div>
    <w:div w:id="711228180">
      <w:bodyDiv w:val="1"/>
      <w:marLeft w:val="0"/>
      <w:marRight w:val="0"/>
      <w:marTop w:val="0"/>
      <w:marBottom w:val="0"/>
      <w:divBdr>
        <w:top w:val="none" w:sz="0" w:space="0" w:color="auto"/>
        <w:left w:val="none" w:sz="0" w:space="0" w:color="auto"/>
        <w:bottom w:val="none" w:sz="0" w:space="0" w:color="auto"/>
        <w:right w:val="none" w:sz="0" w:space="0" w:color="auto"/>
      </w:divBdr>
    </w:div>
    <w:div w:id="720980323">
      <w:bodyDiv w:val="1"/>
      <w:marLeft w:val="0"/>
      <w:marRight w:val="0"/>
      <w:marTop w:val="0"/>
      <w:marBottom w:val="0"/>
      <w:divBdr>
        <w:top w:val="none" w:sz="0" w:space="0" w:color="auto"/>
        <w:left w:val="none" w:sz="0" w:space="0" w:color="auto"/>
        <w:bottom w:val="none" w:sz="0" w:space="0" w:color="auto"/>
        <w:right w:val="none" w:sz="0" w:space="0" w:color="auto"/>
      </w:divBdr>
    </w:div>
    <w:div w:id="725568680">
      <w:bodyDiv w:val="1"/>
      <w:marLeft w:val="0"/>
      <w:marRight w:val="0"/>
      <w:marTop w:val="0"/>
      <w:marBottom w:val="0"/>
      <w:divBdr>
        <w:top w:val="none" w:sz="0" w:space="0" w:color="auto"/>
        <w:left w:val="none" w:sz="0" w:space="0" w:color="auto"/>
        <w:bottom w:val="none" w:sz="0" w:space="0" w:color="auto"/>
        <w:right w:val="none" w:sz="0" w:space="0" w:color="auto"/>
      </w:divBdr>
    </w:div>
    <w:div w:id="727535148">
      <w:bodyDiv w:val="1"/>
      <w:marLeft w:val="0"/>
      <w:marRight w:val="0"/>
      <w:marTop w:val="0"/>
      <w:marBottom w:val="0"/>
      <w:divBdr>
        <w:top w:val="none" w:sz="0" w:space="0" w:color="auto"/>
        <w:left w:val="none" w:sz="0" w:space="0" w:color="auto"/>
        <w:bottom w:val="none" w:sz="0" w:space="0" w:color="auto"/>
        <w:right w:val="none" w:sz="0" w:space="0" w:color="auto"/>
      </w:divBdr>
    </w:div>
    <w:div w:id="729689437">
      <w:bodyDiv w:val="1"/>
      <w:marLeft w:val="0"/>
      <w:marRight w:val="0"/>
      <w:marTop w:val="0"/>
      <w:marBottom w:val="0"/>
      <w:divBdr>
        <w:top w:val="none" w:sz="0" w:space="0" w:color="auto"/>
        <w:left w:val="none" w:sz="0" w:space="0" w:color="auto"/>
        <w:bottom w:val="none" w:sz="0" w:space="0" w:color="auto"/>
        <w:right w:val="none" w:sz="0" w:space="0" w:color="auto"/>
      </w:divBdr>
    </w:div>
    <w:div w:id="737246397">
      <w:bodyDiv w:val="1"/>
      <w:marLeft w:val="0"/>
      <w:marRight w:val="0"/>
      <w:marTop w:val="0"/>
      <w:marBottom w:val="0"/>
      <w:divBdr>
        <w:top w:val="none" w:sz="0" w:space="0" w:color="auto"/>
        <w:left w:val="none" w:sz="0" w:space="0" w:color="auto"/>
        <w:bottom w:val="none" w:sz="0" w:space="0" w:color="auto"/>
        <w:right w:val="none" w:sz="0" w:space="0" w:color="auto"/>
      </w:divBdr>
    </w:div>
    <w:div w:id="740712335">
      <w:bodyDiv w:val="1"/>
      <w:marLeft w:val="0"/>
      <w:marRight w:val="0"/>
      <w:marTop w:val="0"/>
      <w:marBottom w:val="0"/>
      <w:divBdr>
        <w:top w:val="none" w:sz="0" w:space="0" w:color="auto"/>
        <w:left w:val="none" w:sz="0" w:space="0" w:color="auto"/>
        <w:bottom w:val="none" w:sz="0" w:space="0" w:color="auto"/>
        <w:right w:val="none" w:sz="0" w:space="0" w:color="auto"/>
      </w:divBdr>
    </w:div>
    <w:div w:id="742338049">
      <w:bodyDiv w:val="1"/>
      <w:marLeft w:val="0"/>
      <w:marRight w:val="0"/>
      <w:marTop w:val="0"/>
      <w:marBottom w:val="0"/>
      <w:divBdr>
        <w:top w:val="none" w:sz="0" w:space="0" w:color="auto"/>
        <w:left w:val="none" w:sz="0" w:space="0" w:color="auto"/>
        <w:bottom w:val="none" w:sz="0" w:space="0" w:color="auto"/>
        <w:right w:val="none" w:sz="0" w:space="0" w:color="auto"/>
      </w:divBdr>
    </w:div>
    <w:div w:id="743182420">
      <w:bodyDiv w:val="1"/>
      <w:marLeft w:val="0"/>
      <w:marRight w:val="0"/>
      <w:marTop w:val="0"/>
      <w:marBottom w:val="0"/>
      <w:divBdr>
        <w:top w:val="none" w:sz="0" w:space="0" w:color="auto"/>
        <w:left w:val="none" w:sz="0" w:space="0" w:color="auto"/>
        <w:bottom w:val="none" w:sz="0" w:space="0" w:color="auto"/>
        <w:right w:val="none" w:sz="0" w:space="0" w:color="auto"/>
      </w:divBdr>
    </w:div>
    <w:div w:id="744689261">
      <w:bodyDiv w:val="1"/>
      <w:marLeft w:val="0"/>
      <w:marRight w:val="0"/>
      <w:marTop w:val="0"/>
      <w:marBottom w:val="0"/>
      <w:divBdr>
        <w:top w:val="none" w:sz="0" w:space="0" w:color="auto"/>
        <w:left w:val="none" w:sz="0" w:space="0" w:color="auto"/>
        <w:bottom w:val="none" w:sz="0" w:space="0" w:color="auto"/>
        <w:right w:val="none" w:sz="0" w:space="0" w:color="auto"/>
      </w:divBdr>
    </w:div>
    <w:div w:id="746414363">
      <w:bodyDiv w:val="1"/>
      <w:marLeft w:val="0"/>
      <w:marRight w:val="0"/>
      <w:marTop w:val="0"/>
      <w:marBottom w:val="0"/>
      <w:divBdr>
        <w:top w:val="none" w:sz="0" w:space="0" w:color="auto"/>
        <w:left w:val="none" w:sz="0" w:space="0" w:color="auto"/>
        <w:bottom w:val="none" w:sz="0" w:space="0" w:color="auto"/>
        <w:right w:val="none" w:sz="0" w:space="0" w:color="auto"/>
      </w:divBdr>
    </w:div>
    <w:div w:id="750781944">
      <w:bodyDiv w:val="1"/>
      <w:marLeft w:val="0"/>
      <w:marRight w:val="0"/>
      <w:marTop w:val="0"/>
      <w:marBottom w:val="0"/>
      <w:divBdr>
        <w:top w:val="none" w:sz="0" w:space="0" w:color="auto"/>
        <w:left w:val="none" w:sz="0" w:space="0" w:color="auto"/>
        <w:bottom w:val="none" w:sz="0" w:space="0" w:color="auto"/>
        <w:right w:val="none" w:sz="0" w:space="0" w:color="auto"/>
      </w:divBdr>
    </w:div>
    <w:div w:id="751925581">
      <w:bodyDiv w:val="1"/>
      <w:marLeft w:val="0"/>
      <w:marRight w:val="0"/>
      <w:marTop w:val="0"/>
      <w:marBottom w:val="0"/>
      <w:divBdr>
        <w:top w:val="none" w:sz="0" w:space="0" w:color="auto"/>
        <w:left w:val="none" w:sz="0" w:space="0" w:color="auto"/>
        <w:bottom w:val="none" w:sz="0" w:space="0" w:color="auto"/>
        <w:right w:val="none" w:sz="0" w:space="0" w:color="auto"/>
      </w:divBdr>
    </w:div>
    <w:div w:id="752898072">
      <w:bodyDiv w:val="1"/>
      <w:marLeft w:val="0"/>
      <w:marRight w:val="0"/>
      <w:marTop w:val="0"/>
      <w:marBottom w:val="0"/>
      <w:divBdr>
        <w:top w:val="none" w:sz="0" w:space="0" w:color="auto"/>
        <w:left w:val="none" w:sz="0" w:space="0" w:color="auto"/>
        <w:bottom w:val="none" w:sz="0" w:space="0" w:color="auto"/>
        <w:right w:val="none" w:sz="0" w:space="0" w:color="auto"/>
      </w:divBdr>
    </w:div>
    <w:div w:id="754131820">
      <w:bodyDiv w:val="1"/>
      <w:marLeft w:val="0"/>
      <w:marRight w:val="0"/>
      <w:marTop w:val="0"/>
      <w:marBottom w:val="0"/>
      <w:divBdr>
        <w:top w:val="none" w:sz="0" w:space="0" w:color="auto"/>
        <w:left w:val="none" w:sz="0" w:space="0" w:color="auto"/>
        <w:bottom w:val="none" w:sz="0" w:space="0" w:color="auto"/>
        <w:right w:val="none" w:sz="0" w:space="0" w:color="auto"/>
      </w:divBdr>
    </w:div>
    <w:div w:id="756250063">
      <w:bodyDiv w:val="1"/>
      <w:marLeft w:val="0"/>
      <w:marRight w:val="0"/>
      <w:marTop w:val="0"/>
      <w:marBottom w:val="0"/>
      <w:divBdr>
        <w:top w:val="none" w:sz="0" w:space="0" w:color="auto"/>
        <w:left w:val="none" w:sz="0" w:space="0" w:color="auto"/>
        <w:bottom w:val="none" w:sz="0" w:space="0" w:color="auto"/>
        <w:right w:val="none" w:sz="0" w:space="0" w:color="auto"/>
      </w:divBdr>
    </w:div>
    <w:div w:id="763379176">
      <w:bodyDiv w:val="1"/>
      <w:marLeft w:val="0"/>
      <w:marRight w:val="0"/>
      <w:marTop w:val="0"/>
      <w:marBottom w:val="0"/>
      <w:divBdr>
        <w:top w:val="none" w:sz="0" w:space="0" w:color="auto"/>
        <w:left w:val="none" w:sz="0" w:space="0" w:color="auto"/>
        <w:bottom w:val="none" w:sz="0" w:space="0" w:color="auto"/>
        <w:right w:val="none" w:sz="0" w:space="0" w:color="auto"/>
      </w:divBdr>
    </w:div>
    <w:div w:id="765274599">
      <w:bodyDiv w:val="1"/>
      <w:marLeft w:val="0"/>
      <w:marRight w:val="0"/>
      <w:marTop w:val="0"/>
      <w:marBottom w:val="0"/>
      <w:divBdr>
        <w:top w:val="none" w:sz="0" w:space="0" w:color="auto"/>
        <w:left w:val="none" w:sz="0" w:space="0" w:color="auto"/>
        <w:bottom w:val="none" w:sz="0" w:space="0" w:color="auto"/>
        <w:right w:val="none" w:sz="0" w:space="0" w:color="auto"/>
      </w:divBdr>
    </w:div>
    <w:div w:id="767432813">
      <w:bodyDiv w:val="1"/>
      <w:marLeft w:val="0"/>
      <w:marRight w:val="0"/>
      <w:marTop w:val="0"/>
      <w:marBottom w:val="0"/>
      <w:divBdr>
        <w:top w:val="none" w:sz="0" w:space="0" w:color="auto"/>
        <w:left w:val="none" w:sz="0" w:space="0" w:color="auto"/>
        <w:bottom w:val="none" w:sz="0" w:space="0" w:color="auto"/>
        <w:right w:val="none" w:sz="0" w:space="0" w:color="auto"/>
      </w:divBdr>
    </w:div>
    <w:div w:id="769854173">
      <w:bodyDiv w:val="1"/>
      <w:marLeft w:val="0"/>
      <w:marRight w:val="0"/>
      <w:marTop w:val="0"/>
      <w:marBottom w:val="0"/>
      <w:divBdr>
        <w:top w:val="none" w:sz="0" w:space="0" w:color="auto"/>
        <w:left w:val="none" w:sz="0" w:space="0" w:color="auto"/>
        <w:bottom w:val="none" w:sz="0" w:space="0" w:color="auto"/>
        <w:right w:val="none" w:sz="0" w:space="0" w:color="auto"/>
      </w:divBdr>
    </w:div>
    <w:div w:id="770053335">
      <w:bodyDiv w:val="1"/>
      <w:marLeft w:val="0"/>
      <w:marRight w:val="0"/>
      <w:marTop w:val="0"/>
      <w:marBottom w:val="0"/>
      <w:divBdr>
        <w:top w:val="none" w:sz="0" w:space="0" w:color="auto"/>
        <w:left w:val="none" w:sz="0" w:space="0" w:color="auto"/>
        <w:bottom w:val="none" w:sz="0" w:space="0" w:color="auto"/>
        <w:right w:val="none" w:sz="0" w:space="0" w:color="auto"/>
      </w:divBdr>
    </w:div>
    <w:div w:id="771634196">
      <w:bodyDiv w:val="1"/>
      <w:marLeft w:val="0"/>
      <w:marRight w:val="0"/>
      <w:marTop w:val="0"/>
      <w:marBottom w:val="0"/>
      <w:divBdr>
        <w:top w:val="none" w:sz="0" w:space="0" w:color="auto"/>
        <w:left w:val="none" w:sz="0" w:space="0" w:color="auto"/>
        <w:bottom w:val="none" w:sz="0" w:space="0" w:color="auto"/>
        <w:right w:val="none" w:sz="0" w:space="0" w:color="auto"/>
      </w:divBdr>
    </w:div>
    <w:div w:id="772671439">
      <w:bodyDiv w:val="1"/>
      <w:marLeft w:val="0"/>
      <w:marRight w:val="0"/>
      <w:marTop w:val="0"/>
      <w:marBottom w:val="0"/>
      <w:divBdr>
        <w:top w:val="none" w:sz="0" w:space="0" w:color="auto"/>
        <w:left w:val="none" w:sz="0" w:space="0" w:color="auto"/>
        <w:bottom w:val="none" w:sz="0" w:space="0" w:color="auto"/>
        <w:right w:val="none" w:sz="0" w:space="0" w:color="auto"/>
      </w:divBdr>
    </w:div>
    <w:div w:id="776484328">
      <w:bodyDiv w:val="1"/>
      <w:marLeft w:val="0"/>
      <w:marRight w:val="0"/>
      <w:marTop w:val="0"/>
      <w:marBottom w:val="0"/>
      <w:divBdr>
        <w:top w:val="none" w:sz="0" w:space="0" w:color="auto"/>
        <w:left w:val="none" w:sz="0" w:space="0" w:color="auto"/>
        <w:bottom w:val="none" w:sz="0" w:space="0" w:color="auto"/>
        <w:right w:val="none" w:sz="0" w:space="0" w:color="auto"/>
      </w:divBdr>
    </w:div>
    <w:div w:id="778064114">
      <w:bodyDiv w:val="1"/>
      <w:marLeft w:val="0"/>
      <w:marRight w:val="0"/>
      <w:marTop w:val="0"/>
      <w:marBottom w:val="0"/>
      <w:divBdr>
        <w:top w:val="none" w:sz="0" w:space="0" w:color="auto"/>
        <w:left w:val="none" w:sz="0" w:space="0" w:color="auto"/>
        <w:bottom w:val="none" w:sz="0" w:space="0" w:color="auto"/>
        <w:right w:val="none" w:sz="0" w:space="0" w:color="auto"/>
      </w:divBdr>
    </w:div>
    <w:div w:id="780304327">
      <w:bodyDiv w:val="1"/>
      <w:marLeft w:val="0"/>
      <w:marRight w:val="0"/>
      <w:marTop w:val="0"/>
      <w:marBottom w:val="0"/>
      <w:divBdr>
        <w:top w:val="none" w:sz="0" w:space="0" w:color="auto"/>
        <w:left w:val="none" w:sz="0" w:space="0" w:color="auto"/>
        <w:bottom w:val="none" w:sz="0" w:space="0" w:color="auto"/>
        <w:right w:val="none" w:sz="0" w:space="0" w:color="auto"/>
      </w:divBdr>
    </w:div>
    <w:div w:id="781263225">
      <w:bodyDiv w:val="1"/>
      <w:marLeft w:val="0"/>
      <w:marRight w:val="0"/>
      <w:marTop w:val="0"/>
      <w:marBottom w:val="0"/>
      <w:divBdr>
        <w:top w:val="none" w:sz="0" w:space="0" w:color="auto"/>
        <w:left w:val="none" w:sz="0" w:space="0" w:color="auto"/>
        <w:bottom w:val="none" w:sz="0" w:space="0" w:color="auto"/>
        <w:right w:val="none" w:sz="0" w:space="0" w:color="auto"/>
      </w:divBdr>
    </w:div>
    <w:div w:id="781459966">
      <w:bodyDiv w:val="1"/>
      <w:marLeft w:val="0"/>
      <w:marRight w:val="0"/>
      <w:marTop w:val="0"/>
      <w:marBottom w:val="0"/>
      <w:divBdr>
        <w:top w:val="none" w:sz="0" w:space="0" w:color="auto"/>
        <w:left w:val="none" w:sz="0" w:space="0" w:color="auto"/>
        <w:bottom w:val="none" w:sz="0" w:space="0" w:color="auto"/>
        <w:right w:val="none" w:sz="0" w:space="0" w:color="auto"/>
      </w:divBdr>
    </w:div>
    <w:div w:id="793913393">
      <w:bodyDiv w:val="1"/>
      <w:marLeft w:val="0"/>
      <w:marRight w:val="0"/>
      <w:marTop w:val="0"/>
      <w:marBottom w:val="0"/>
      <w:divBdr>
        <w:top w:val="none" w:sz="0" w:space="0" w:color="auto"/>
        <w:left w:val="none" w:sz="0" w:space="0" w:color="auto"/>
        <w:bottom w:val="none" w:sz="0" w:space="0" w:color="auto"/>
        <w:right w:val="none" w:sz="0" w:space="0" w:color="auto"/>
      </w:divBdr>
    </w:div>
    <w:div w:id="794367144">
      <w:bodyDiv w:val="1"/>
      <w:marLeft w:val="0"/>
      <w:marRight w:val="0"/>
      <w:marTop w:val="0"/>
      <w:marBottom w:val="0"/>
      <w:divBdr>
        <w:top w:val="none" w:sz="0" w:space="0" w:color="auto"/>
        <w:left w:val="none" w:sz="0" w:space="0" w:color="auto"/>
        <w:bottom w:val="none" w:sz="0" w:space="0" w:color="auto"/>
        <w:right w:val="none" w:sz="0" w:space="0" w:color="auto"/>
      </w:divBdr>
    </w:div>
    <w:div w:id="797531872">
      <w:bodyDiv w:val="1"/>
      <w:marLeft w:val="0"/>
      <w:marRight w:val="0"/>
      <w:marTop w:val="0"/>
      <w:marBottom w:val="0"/>
      <w:divBdr>
        <w:top w:val="none" w:sz="0" w:space="0" w:color="auto"/>
        <w:left w:val="none" w:sz="0" w:space="0" w:color="auto"/>
        <w:bottom w:val="none" w:sz="0" w:space="0" w:color="auto"/>
        <w:right w:val="none" w:sz="0" w:space="0" w:color="auto"/>
      </w:divBdr>
    </w:div>
    <w:div w:id="800851203">
      <w:bodyDiv w:val="1"/>
      <w:marLeft w:val="0"/>
      <w:marRight w:val="0"/>
      <w:marTop w:val="0"/>
      <w:marBottom w:val="0"/>
      <w:divBdr>
        <w:top w:val="none" w:sz="0" w:space="0" w:color="auto"/>
        <w:left w:val="none" w:sz="0" w:space="0" w:color="auto"/>
        <w:bottom w:val="none" w:sz="0" w:space="0" w:color="auto"/>
        <w:right w:val="none" w:sz="0" w:space="0" w:color="auto"/>
      </w:divBdr>
    </w:div>
    <w:div w:id="804195917">
      <w:bodyDiv w:val="1"/>
      <w:marLeft w:val="0"/>
      <w:marRight w:val="0"/>
      <w:marTop w:val="0"/>
      <w:marBottom w:val="0"/>
      <w:divBdr>
        <w:top w:val="none" w:sz="0" w:space="0" w:color="auto"/>
        <w:left w:val="none" w:sz="0" w:space="0" w:color="auto"/>
        <w:bottom w:val="none" w:sz="0" w:space="0" w:color="auto"/>
        <w:right w:val="none" w:sz="0" w:space="0" w:color="auto"/>
      </w:divBdr>
    </w:div>
    <w:div w:id="806045220">
      <w:bodyDiv w:val="1"/>
      <w:marLeft w:val="0"/>
      <w:marRight w:val="0"/>
      <w:marTop w:val="0"/>
      <w:marBottom w:val="0"/>
      <w:divBdr>
        <w:top w:val="none" w:sz="0" w:space="0" w:color="auto"/>
        <w:left w:val="none" w:sz="0" w:space="0" w:color="auto"/>
        <w:bottom w:val="none" w:sz="0" w:space="0" w:color="auto"/>
        <w:right w:val="none" w:sz="0" w:space="0" w:color="auto"/>
      </w:divBdr>
    </w:div>
    <w:div w:id="811411191">
      <w:bodyDiv w:val="1"/>
      <w:marLeft w:val="0"/>
      <w:marRight w:val="0"/>
      <w:marTop w:val="0"/>
      <w:marBottom w:val="0"/>
      <w:divBdr>
        <w:top w:val="none" w:sz="0" w:space="0" w:color="auto"/>
        <w:left w:val="none" w:sz="0" w:space="0" w:color="auto"/>
        <w:bottom w:val="none" w:sz="0" w:space="0" w:color="auto"/>
        <w:right w:val="none" w:sz="0" w:space="0" w:color="auto"/>
      </w:divBdr>
    </w:div>
    <w:div w:id="821849587">
      <w:bodyDiv w:val="1"/>
      <w:marLeft w:val="0"/>
      <w:marRight w:val="0"/>
      <w:marTop w:val="0"/>
      <w:marBottom w:val="0"/>
      <w:divBdr>
        <w:top w:val="none" w:sz="0" w:space="0" w:color="auto"/>
        <w:left w:val="none" w:sz="0" w:space="0" w:color="auto"/>
        <w:bottom w:val="none" w:sz="0" w:space="0" w:color="auto"/>
        <w:right w:val="none" w:sz="0" w:space="0" w:color="auto"/>
      </w:divBdr>
    </w:div>
    <w:div w:id="823351017">
      <w:bodyDiv w:val="1"/>
      <w:marLeft w:val="0"/>
      <w:marRight w:val="0"/>
      <w:marTop w:val="0"/>
      <w:marBottom w:val="0"/>
      <w:divBdr>
        <w:top w:val="none" w:sz="0" w:space="0" w:color="auto"/>
        <w:left w:val="none" w:sz="0" w:space="0" w:color="auto"/>
        <w:bottom w:val="none" w:sz="0" w:space="0" w:color="auto"/>
        <w:right w:val="none" w:sz="0" w:space="0" w:color="auto"/>
      </w:divBdr>
    </w:div>
    <w:div w:id="823667041">
      <w:bodyDiv w:val="1"/>
      <w:marLeft w:val="0"/>
      <w:marRight w:val="0"/>
      <w:marTop w:val="0"/>
      <w:marBottom w:val="0"/>
      <w:divBdr>
        <w:top w:val="none" w:sz="0" w:space="0" w:color="auto"/>
        <w:left w:val="none" w:sz="0" w:space="0" w:color="auto"/>
        <w:bottom w:val="none" w:sz="0" w:space="0" w:color="auto"/>
        <w:right w:val="none" w:sz="0" w:space="0" w:color="auto"/>
      </w:divBdr>
    </w:div>
    <w:div w:id="827674812">
      <w:bodyDiv w:val="1"/>
      <w:marLeft w:val="0"/>
      <w:marRight w:val="0"/>
      <w:marTop w:val="0"/>
      <w:marBottom w:val="0"/>
      <w:divBdr>
        <w:top w:val="none" w:sz="0" w:space="0" w:color="auto"/>
        <w:left w:val="none" w:sz="0" w:space="0" w:color="auto"/>
        <w:bottom w:val="none" w:sz="0" w:space="0" w:color="auto"/>
        <w:right w:val="none" w:sz="0" w:space="0" w:color="auto"/>
      </w:divBdr>
    </w:div>
    <w:div w:id="828330461">
      <w:bodyDiv w:val="1"/>
      <w:marLeft w:val="0"/>
      <w:marRight w:val="0"/>
      <w:marTop w:val="0"/>
      <w:marBottom w:val="0"/>
      <w:divBdr>
        <w:top w:val="none" w:sz="0" w:space="0" w:color="auto"/>
        <w:left w:val="none" w:sz="0" w:space="0" w:color="auto"/>
        <w:bottom w:val="none" w:sz="0" w:space="0" w:color="auto"/>
        <w:right w:val="none" w:sz="0" w:space="0" w:color="auto"/>
      </w:divBdr>
    </w:div>
    <w:div w:id="828865336">
      <w:bodyDiv w:val="1"/>
      <w:marLeft w:val="0"/>
      <w:marRight w:val="0"/>
      <w:marTop w:val="0"/>
      <w:marBottom w:val="0"/>
      <w:divBdr>
        <w:top w:val="none" w:sz="0" w:space="0" w:color="auto"/>
        <w:left w:val="none" w:sz="0" w:space="0" w:color="auto"/>
        <w:bottom w:val="none" w:sz="0" w:space="0" w:color="auto"/>
        <w:right w:val="none" w:sz="0" w:space="0" w:color="auto"/>
      </w:divBdr>
    </w:div>
    <w:div w:id="829367653">
      <w:bodyDiv w:val="1"/>
      <w:marLeft w:val="0"/>
      <w:marRight w:val="0"/>
      <w:marTop w:val="0"/>
      <w:marBottom w:val="0"/>
      <w:divBdr>
        <w:top w:val="none" w:sz="0" w:space="0" w:color="auto"/>
        <w:left w:val="none" w:sz="0" w:space="0" w:color="auto"/>
        <w:bottom w:val="none" w:sz="0" w:space="0" w:color="auto"/>
        <w:right w:val="none" w:sz="0" w:space="0" w:color="auto"/>
      </w:divBdr>
    </w:div>
    <w:div w:id="831798477">
      <w:bodyDiv w:val="1"/>
      <w:marLeft w:val="0"/>
      <w:marRight w:val="0"/>
      <w:marTop w:val="0"/>
      <w:marBottom w:val="0"/>
      <w:divBdr>
        <w:top w:val="none" w:sz="0" w:space="0" w:color="auto"/>
        <w:left w:val="none" w:sz="0" w:space="0" w:color="auto"/>
        <w:bottom w:val="none" w:sz="0" w:space="0" w:color="auto"/>
        <w:right w:val="none" w:sz="0" w:space="0" w:color="auto"/>
      </w:divBdr>
    </w:div>
    <w:div w:id="834612520">
      <w:bodyDiv w:val="1"/>
      <w:marLeft w:val="0"/>
      <w:marRight w:val="0"/>
      <w:marTop w:val="0"/>
      <w:marBottom w:val="0"/>
      <w:divBdr>
        <w:top w:val="none" w:sz="0" w:space="0" w:color="auto"/>
        <w:left w:val="none" w:sz="0" w:space="0" w:color="auto"/>
        <w:bottom w:val="none" w:sz="0" w:space="0" w:color="auto"/>
        <w:right w:val="none" w:sz="0" w:space="0" w:color="auto"/>
      </w:divBdr>
    </w:div>
    <w:div w:id="837161061">
      <w:bodyDiv w:val="1"/>
      <w:marLeft w:val="0"/>
      <w:marRight w:val="0"/>
      <w:marTop w:val="0"/>
      <w:marBottom w:val="0"/>
      <w:divBdr>
        <w:top w:val="none" w:sz="0" w:space="0" w:color="auto"/>
        <w:left w:val="none" w:sz="0" w:space="0" w:color="auto"/>
        <w:bottom w:val="none" w:sz="0" w:space="0" w:color="auto"/>
        <w:right w:val="none" w:sz="0" w:space="0" w:color="auto"/>
      </w:divBdr>
    </w:div>
    <w:div w:id="837501743">
      <w:bodyDiv w:val="1"/>
      <w:marLeft w:val="0"/>
      <w:marRight w:val="0"/>
      <w:marTop w:val="0"/>
      <w:marBottom w:val="0"/>
      <w:divBdr>
        <w:top w:val="none" w:sz="0" w:space="0" w:color="auto"/>
        <w:left w:val="none" w:sz="0" w:space="0" w:color="auto"/>
        <w:bottom w:val="none" w:sz="0" w:space="0" w:color="auto"/>
        <w:right w:val="none" w:sz="0" w:space="0" w:color="auto"/>
      </w:divBdr>
    </w:div>
    <w:div w:id="837959941">
      <w:bodyDiv w:val="1"/>
      <w:marLeft w:val="0"/>
      <w:marRight w:val="0"/>
      <w:marTop w:val="0"/>
      <w:marBottom w:val="0"/>
      <w:divBdr>
        <w:top w:val="none" w:sz="0" w:space="0" w:color="auto"/>
        <w:left w:val="none" w:sz="0" w:space="0" w:color="auto"/>
        <w:bottom w:val="none" w:sz="0" w:space="0" w:color="auto"/>
        <w:right w:val="none" w:sz="0" w:space="0" w:color="auto"/>
      </w:divBdr>
    </w:div>
    <w:div w:id="840706236">
      <w:bodyDiv w:val="1"/>
      <w:marLeft w:val="0"/>
      <w:marRight w:val="0"/>
      <w:marTop w:val="0"/>
      <w:marBottom w:val="0"/>
      <w:divBdr>
        <w:top w:val="none" w:sz="0" w:space="0" w:color="auto"/>
        <w:left w:val="none" w:sz="0" w:space="0" w:color="auto"/>
        <w:bottom w:val="none" w:sz="0" w:space="0" w:color="auto"/>
        <w:right w:val="none" w:sz="0" w:space="0" w:color="auto"/>
      </w:divBdr>
    </w:div>
    <w:div w:id="840781863">
      <w:bodyDiv w:val="1"/>
      <w:marLeft w:val="0"/>
      <w:marRight w:val="0"/>
      <w:marTop w:val="0"/>
      <w:marBottom w:val="0"/>
      <w:divBdr>
        <w:top w:val="none" w:sz="0" w:space="0" w:color="auto"/>
        <w:left w:val="none" w:sz="0" w:space="0" w:color="auto"/>
        <w:bottom w:val="none" w:sz="0" w:space="0" w:color="auto"/>
        <w:right w:val="none" w:sz="0" w:space="0" w:color="auto"/>
      </w:divBdr>
    </w:div>
    <w:div w:id="843591908">
      <w:bodyDiv w:val="1"/>
      <w:marLeft w:val="0"/>
      <w:marRight w:val="0"/>
      <w:marTop w:val="0"/>
      <w:marBottom w:val="0"/>
      <w:divBdr>
        <w:top w:val="none" w:sz="0" w:space="0" w:color="auto"/>
        <w:left w:val="none" w:sz="0" w:space="0" w:color="auto"/>
        <w:bottom w:val="none" w:sz="0" w:space="0" w:color="auto"/>
        <w:right w:val="none" w:sz="0" w:space="0" w:color="auto"/>
      </w:divBdr>
    </w:div>
    <w:div w:id="846016147">
      <w:bodyDiv w:val="1"/>
      <w:marLeft w:val="0"/>
      <w:marRight w:val="0"/>
      <w:marTop w:val="0"/>
      <w:marBottom w:val="0"/>
      <w:divBdr>
        <w:top w:val="none" w:sz="0" w:space="0" w:color="auto"/>
        <w:left w:val="none" w:sz="0" w:space="0" w:color="auto"/>
        <w:bottom w:val="none" w:sz="0" w:space="0" w:color="auto"/>
        <w:right w:val="none" w:sz="0" w:space="0" w:color="auto"/>
      </w:divBdr>
    </w:div>
    <w:div w:id="846941936">
      <w:bodyDiv w:val="1"/>
      <w:marLeft w:val="0"/>
      <w:marRight w:val="0"/>
      <w:marTop w:val="0"/>
      <w:marBottom w:val="0"/>
      <w:divBdr>
        <w:top w:val="none" w:sz="0" w:space="0" w:color="auto"/>
        <w:left w:val="none" w:sz="0" w:space="0" w:color="auto"/>
        <w:bottom w:val="none" w:sz="0" w:space="0" w:color="auto"/>
        <w:right w:val="none" w:sz="0" w:space="0" w:color="auto"/>
      </w:divBdr>
    </w:div>
    <w:div w:id="848711617">
      <w:bodyDiv w:val="1"/>
      <w:marLeft w:val="0"/>
      <w:marRight w:val="0"/>
      <w:marTop w:val="0"/>
      <w:marBottom w:val="0"/>
      <w:divBdr>
        <w:top w:val="none" w:sz="0" w:space="0" w:color="auto"/>
        <w:left w:val="none" w:sz="0" w:space="0" w:color="auto"/>
        <w:bottom w:val="none" w:sz="0" w:space="0" w:color="auto"/>
        <w:right w:val="none" w:sz="0" w:space="0" w:color="auto"/>
      </w:divBdr>
    </w:div>
    <w:div w:id="854226968">
      <w:bodyDiv w:val="1"/>
      <w:marLeft w:val="0"/>
      <w:marRight w:val="0"/>
      <w:marTop w:val="0"/>
      <w:marBottom w:val="0"/>
      <w:divBdr>
        <w:top w:val="none" w:sz="0" w:space="0" w:color="auto"/>
        <w:left w:val="none" w:sz="0" w:space="0" w:color="auto"/>
        <w:bottom w:val="none" w:sz="0" w:space="0" w:color="auto"/>
        <w:right w:val="none" w:sz="0" w:space="0" w:color="auto"/>
      </w:divBdr>
    </w:div>
    <w:div w:id="856164236">
      <w:bodyDiv w:val="1"/>
      <w:marLeft w:val="0"/>
      <w:marRight w:val="0"/>
      <w:marTop w:val="0"/>
      <w:marBottom w:val="0"/>
      <w:divBdr>
        <w:top w:val="none" w:sz="0" w:space="0" w:color="auto"/>
        <w:left w:val="none" w:sz="0" w:space="0" w:color="auto"/>
        <w:bottom w:val="none" w:sz="0" w:space="0" w:color="auto"/>
        <w:right w:val="none" w:sz="0" w:space="0" w:color="auto"/>
      </w:divBdr>
    </w:div>
    <w:div w:id="862984277">
      <w:bodyDiv w:val="1"/>
      <w:marLeft w:val="0"/>
      <w:marRight w:val="0"/>
      <w:marTop w:val="0"/>
      <w:marBottom w:val="0"/>
      <w:divBdr>
        <w:top w:val="none" w:sz="0" w:space="0" w:color="auto"/>
        <w:left w:val="none" w:sz="0" w:space="0" w:color="auto"/>
        <w:bottom w:val="none" w:sz="0" w:space="0" w:color="auto"/>
        <w:right w:val="none" w:sz="0" w:space="0" w:color="auto"/>
      </w:divBdr>
    </w:div>
    <w:div w:id="863907309">
      <w:bodyDiv w:val="1"/>
      <w:marLeft w:val="0"/>
      <w:marRight w:val="0"/>
      <w:marTop w:val="0"/>
      <w:marBottom w:val="0"/>
      <w:divBdr>
        <w:top w:val="none" w:sz="0" w:space="0" w:color="auto"/>
        <w:left w:val="none" w:sz="0" w:space="0" w:color="auto"/>
        <w:bottom w:val="none" w:sz="0" w:space="0" w:color="auto"/>
        <w:right w:val="none" w:sz="0" w:space="0" w:color="auto"/>
      </w:divBdr>
    </w:div>
    <w:div w:id="868758380">
      <w:bodyDiv w:val="1"/>
      <w:marLeft w:val="0"/>
      <w:marRight w:val="0"/>
      <w:marTop w:val="0"/>
      <w:marBottom w:val="0"/>
      <w:divBdr>
        <w:top w:val="none" w:sz="0" w:space="0" w:color="auto"/>
        <w:left w:val="none" w:sz="0" w:space="0" w:color="auto"/>
        <w:bottom w:val="none" w:sz="0" w:space="0" w:color="auto"/>
        <w:right w:val="none" w:sz="0" w:space="0" w:color="auto"/>
      </w:divBdr>
    </w:div>
    <w:div w:id="870722636">
      <w:bodyDiv w:val="1"/>
      <w:marLeft w:val="0"/>
      <w:marRight w:val="0"/>
      <w:marTop w:val="0"/>
      <w:marBottom w:val="0"/>
      <w:divBdr>
        <w:top w:val="none" w:sz="0" w:space="0" w:color="auto"/>
        <w:left w:val="none" w:sz="0" w:space="0" w:color="auto"/>
        <w:bottom w:val="none" w:sz="0" w:space="0" w:color="auto"/>
        <w:right w:val="none" w:sz="0" w:space="0" w:color="auto"/>
      </w:divBdr>
    </w:div>
    <w:div w:id="873927291">
      <w:bodyDiv w:val="1"/>
      <w:marLeft w:val="0"/>
      <w:marRight w:val="0"/>
      <w:marTop w:val="0"/>
      <w:marBottom w:val="0"/>
      <w:divBdr>
        <w:top w:val="none" w:sz="0" w:space="0" w:color="auto"/>
        <w:left w:val="none" w:sz="0" w:space="0" w:color="auto"/>
        <w:bottom w:val="none" w:sz="0" w:space="0" w:color="auto"/>
        <w:right w:val="none" w:sz="0" w:space="0" w:color="auto"/>
      </w:divBdr>
    </w:div>
    <w:div w:id="874392896">
      <w:bodyDiv w:val="1"/>
      <w:marLeft w:val="0"/>
      <w:marRight w:val="0"/>
      <w:marTop w:val="0"/>
      <w:marBottom w:val="0"/>
      <w:divBdr>
        <w:top w:val="none" w:sz="0" w:space="0" w:color="auto"/>
        <w:left w:val="none" w:sz="0" w:space="0" w:color="auto"/>
        <w:bottom w:val="none" w:sz="0" w:space="0" w:color="auto"/>
        <w:right w:val="none" w:sz="0" w:space="0" w:color="auto"/>
      </w:divBdr>
    </w:div>
    <w:div w:id="875848124">
      <w:bodyDiv w:val="1"/>
      <w:marLeft w:val="0"/>
      <w:marRight w:val="0"/>
      <w:marTop w:val="0"/>
      <w:marBottom w:val="0"/>
      <w:divBdr>
        <w:top w:val="none" w:sz="0" w:space="0" w:color="auto"/>
        <w:left w:val="none" w:sz="0" w:space="0" w:color="auto"/>
        <w:bottom w:val="none" w:sz="0" w:space="0" w:color="auto"/>
        <w:right w:val="none" w:sz="0" w:space="0" w:color="auto"/>
      </w:divBdr>
    </w:div>
    <w:div w:id="877082621">
      <w:bodyDiv w:val="1"/>
      <w:marLeft w:val="0"/>
      <w:marRight w:val="0"/>
      <w:marTop w:val="0"/>
      <w:marBottom w:val="0"/>
      <w:divBdr>
        <w:top w:val="none" w:sz="0" w:space="0" w:color="auto"/>
        <w:left w:val="none" w:sz="0" w:space="0" w:color="auto"/>
        <w:bottom w:val="none" w:sz="0" w:space="0" w:color="auto"/>
        <w:right w:val="none" w:sz="0" w:space="0" w:color="auto"/>
      </w:divBdr>
    </w:div>
    <w:div w:id="878125577">
      <w:bodyDiv w:val="1"/>
      <w:marLeft w:val="0"/>
      <w:marRight w:val="0"/>
      <w:marTop w:val="0"/>
      <w:marBottom w:val="0"/>
      <w:divBdr>
        <w:top w:val="none" w:sz="0" w:space="0" w:color="auto"/>
        <w:left w:val="none" w:sz="0" w:space="0" w:color="auto"/>
        <w:bottom w:val="none" w:sz="0" w:space="0" w:color="auto"/>
        <w:right w:val="none" w:sz="0" w:space="0" w:color="auto"/>
      </w:divBdr>
    </w:div>
    <w:div w:id="878786548">
      <w:bodyDiv w:val="1"/>
      <w:marLeft w:val="0"/>
      <w:marRight w:val="0"/>
      <w:marTop w:val="0"/>
      <w:marBottom w:val="0"/>
      <w:divBdr>
        <w:top w:val="none" w:sz="0" w:space="0" w:color="auto"/>
        <w:left w:val="none" w:sz="0" w:space="0" w:color="auto"/>
        <w:bottom w:val="none" w:sz="0" w:space="0" w:color="auto"/>
        <w:right w:val="none" w:sz="0" w:space="0" w:color="auto"/>
      </w:divBdr>
    </w:div>
    <w:div w:id="879127932">
      <w:bodyDiv w:val="1"/>
      <w:marLeft w:val="0"/>
      <w:marRight w:val="0"/>
      <w:marTop w:val="0"/>
      <w:marBottom w:val="0"/>
      <w:divBdr>
        <w:top w:val="none" w:sz="0" w:space="0" w:color="auto"/>
        <w:left w:val="none" w:sz="0" w:space="0" w:color="auto"/>
        <w:bottom w:val="none" w:sz="0" w:space="0" w:color="auto"/>
        <w:right w:val="none" w:sz="0" w:space="0" w:color="auto"/>
      </w:divBdr>
    </w:div>
    <w:div w:id="880287523">
      <w:bodyDiv w:val="1"/>
      <w:marLeft w:val="0"/>
      <w:marRight w:val="0"/>
      <w:marTop w:val="0"/>
      <w:marBottom w:val="0"/>
      <w:divBdr>
        <w:top w:val="none" w:sz="0" w:space="0" w:color="auto"/>
        <w:left w:val="none" w:sz="0" w:space="0" w:color="auto"/>
        <w:bottom w:val="none" w:sz="0" w:space="0" w:color="auto"/>
        <w:right w:val="none" w:sz="0" w:space="0" w:color="auto"/>
      </w:divBdr>
    </w:div>
    <w:div w:id="881133424">
      <w:bodyDiv w:val="1"/>
      <w:marLeft w:val="0"/>
      <w:marRight w:val="0"/>
      <w:marTop w:val="0"/>
      <w:marBottom w:val="0"/>
      <w:divBdr>
        <w:top w:val="none" w:sz="0" w:space="0" w:color="auto"/>
        <w:left w:val="none" w:sz="0" w:space="0" w:color="auto"/>
        <w:bottom w:val="none" w:sz="0" w:space="0" w:color="auto"/>
        <w:right w:val="none" w:sz="0" w:space="0" w:color="auto"/>
      </w:divBdr>
    </w:div>
    <w:div w:id="882450410">
      <w:bodyDiv w:val="1"/>
      <w:marLeft w:val="0"/>
      <w:marRight w:val="0"/>
      <w:marTop w:val="0"/>
      <w:marBottom w:val="0"/>
      <w:divBdr>
        <w:top w:val="none" w:sz="0" w:space="0" w:color="auto"/>
        <w:left w:val="none" w:sz="0" w:space="0" w:color="auto"/>
        <w:bottom w:val="none" w:sz="0" w:space="0" w:color="auto"/>
        <w:right w:val="none" w:sz="0" w:space="0" w:color="auto"/>
      </w:divBdr>
    </w:div>
    <w:div w:id="882835976">
      <w:bodyDiv w:val="1"/>
      <w:marLeft w:val="0"/>
      <w:marRight w:val="0"/>
      <w:marTop w:val="0"/>
      <w:marBottom w:val="0"/>
      <w:divBdr>
        <w:top w:val="none" w:sz="0" w:space="0" w:color="auto"/>
        <w:left w:val="none" w:sz="0" w:space="0" w:color="auto"/>
        <w:bottom w:val="none" w:sz="0" w:space="0" w:color="auto"/>
        <w:right w:val="none" w:sz="0" w:space="0" w:color="auto"/>
      </w:divBdr>
    </w:div>
    <w:div w:id="900140112">
      <w:bodyDiv w:val="1"/>
      <w:marLeft w:val="0"/>
      <w:marRight w:val="0"/>
      <w:marTop w:val="0"/>
      <w:marBottom w:val="0"/>
      <w:divBdr>
        <w:top w:val="none" w:sz="0" w:space="0" w:color="auto"/>
        <w:left w:val="none" w:sz="0" w:space="0" w:color="auto"/>
        <w:bottom w:val="none" w:sz="0" w:space="0" w:color="auto"/>
        <w:right w:val="none" w:sz="0" w:space="0" w:color="auto"/>
      </w:divBdr>
    </w:div>
    <w:div w:id="908807302">
      <w:bodyDiv w:val="1"/>
      <w:marLeft w:val="0"/>
      <w:marRight w:val="0"/>
      <w:marTop w:val="0"/>
      <w:marBottom w:val="0"/>
      <w:divBdr>
        <w:top w:val="none" w:sz="0" w:space="0" w:color="auto"/>
        <w:left w:val="none" w:sz="0" w:space="0" w:color="auto"/>
        <w:bottom w:val="none" w:sz="0" w:space="0" w:color="auto"/>
        <w:right w:val="none" w:sz="0" w:space="0" w:color="auto"/>
      </w:divBdr>
    </w:div>
    <w:div w:id="908809241">
      <w:bodyDiv w:val="1"/>
      <w:marLeft w:val="0"/>
      <w:marRight w:val="0"/>
      <w:marTop w:val="0"/>
      <w:marBottom w:val="0"/>
      <w:divBdr>
        <w:top w:val="none" w:sz="0" w:space="0" w:color="auto"/>
        <w:left w:val="none" w:sz="0" w:space="0" w:color="auto"/>
        <w:bottom w:val="none" w:sz="0" w:space="0" w:color="auto"/>
        <w:right w:val="none" w:sz="0" w:space="0" w:color="auto"/>
      </w:divBdr>
    </w:div>
    <w:div w:id="916525017">
      <w:bodyDiv w:val="1"/>
      <w:marLeft w:val="0"/>
      <w:marRight w:val="0"/>
      <w:marTop w:val="0"/>
      <w:marBottom w:val="0"/>
      <w:divBdr>
        <w:top w:val="none" w:sz="0" w:space="0" w:color="auto"/>
        <w:left w:val="none" w:sz="0" w:space="0" w:color="auto"/>
        <w:bottom w:val="none" w:sz="0" w:space="0" w:color="auto"/>
        <w:right w:val="none" w:sz="0" w:space="0" w:color="auto"/>
      </w:divBdr>
    </w:div>
    <w:div w:id="918249775">
      <w:bodyDiv w:val="1"/>
      <w:marLeft w:val="0"/>
      <w:marRight w:val="0"/>
      <w:marTop w:val="0"/>
      <w:marBottom w:val="0"/>
      <w:divBdr>
        <w:top w:val="none" w:sz="0" w:space="0" w:color="auto"/>
        <w:left w:val="none" w:sz="0" w:space="0" w:color="auto"/>
        <w:bottom w:val="none" w:sz="0" w:space="0" w:color="auto"/>
        <w:right w:val="none" w:sz="0" w:space="0" w:color="auto"/>
      </w:divBdr>
    </w:div>
    <w:div w:id="919171007">
      <w:bodyDiv w:val="1"/>
      <w:marLeft w:val="0"/>
      <w:marRight w:val="0"/>
      <w:marTop w:val="0"/>
      <w:marBottom w:val="0"/>
      <w:divBdr>
        <w:top w:val="none" w:sz="0" w:space="0" w:color="auto"/>
        <w:left w:val="none" w:sz="0" w:space="0" w:color="auto"/>
        <w:bottom w:val="none" w:sz="0" w:space="0" w:color="auto"/>
        <w:right w:val="none" w:sz="0" w:space="0" w:color="auto"/>
      </w:divBdr>
    </w:div>
    <w:div w:id="920529410">
      <w:bodyDiv w:val="1"/>
      <w:marLeft w:val="0"/>
      <w:marRight w:val="0"/>
      <w:marTop w:val="0"/>
      <w:marBottom w:val="0"/>
      <w:divBdr>
        <w:top w:val="none" w:sz="0" w:space="0" w:color="auto"/>
        <w:left w:val="none" w:sz="0" w:space="0" w:color="auto"/>
        <w:bottom w:val="none" w:sz="0" w:space="0" w:color="auto"/>
        <w:right w:val="none" w:sz="0" w:space="0" w:color="auto"/>
      </w:divBdr>
    </w:div>
    <w:div w:id="928391234">
      <w:bodyDiv w:val="1"/>
      <w:marLeft w:val="0"/>
      <w:marRight w:val="0"/>
      <w:marTop w:val="0"/>
      <w:marBottom w:val="0"/>
      <w:divBdr>
        <w:top w:val="none" w:sz="0" w:space="0" w:color="auto"/>
        <w:left w:val="none" w:sz="0" w:space="0" w:color="auto"/>
        <w:bottom w:val="none" w:sz="0" w:space="0" w:color="auto"/>
        <w:right w:val="none" w:sz="0" w:space="0" w:color="auto"/>
      </w:divBdr>
    </w:div>
    <w:div w:id="932055715">
      <w:bodyDiv w:val="1"/>
      <w:marLeft w:val="0"/>
      <w:marRight w:val="0"/>
      <w:marTop w:val="0"/>
      <w:marBottom w:val="0"/>
      <w:divBdr>
        <w:top w:val="none" w:sz="0" w:space="0" w:color="auto"/>
        <w:left w:val="none" w:sz="0" w:space="0" w:color="auto"/>
        <w:bottom w:val="none" w:sz="0" w:space="0" w:color="auto"/>
        <w:right w:val="none" w:sz="0" w:space="0" w:color="auto"/>
      </w:divBdr>
    </w:div>
    <w:div w:id="936212359">
      <w:bodyDiv w:val="1"/>
      <w:marLeft w:val="0"/>
      <w:marRight w:val="0"/>
      <w:marTop w:val="0"/>
      <w:marBottom w:val="0"/>
      <w:divBdr>
        <w:top w:val="none" w:sz="0" w:space="0" w:color="auto"/>
        <w:left w:val="none" w:sz="0" w:space="0" w:color="auto"/>
        <w:bottom w:val="none" w:sz="0" w:space="0" w:color="auto"/>
        <w:right w:val="none" w:sz="0" w:space="0" w:color="auto"/>
      </w:divBdr>
    </w:div>
    <w:div w:id="940722284">
      <w:bodyDiv w:val="1"/>
      <w:marLeft w:val="0"/>
      <w:marRight w:val="0"/>
      <w:marTop w:val="0"/>
      <w:marBottom w:val="0"/>
      <w:divBdr>
        <w:top w:val="none" w:sz="0" w:space="0" w:color="auto"/>
        <w:left w:val="none" w:sz="0" w:space="0" w:color="auto"/>
        <w:bottom w:val="none" w:sz="0" w:space="0" w:color="auto"/>
        <w:right w:val="none" w:sz="0" w:space="0" w:color="auto"/>
      </w:divBdr>
    </w:div>
    <w:div w:id="943683028">
      <w:bodyDiv w:val="1"/>
      <w:marLeft w:val="0"/>
      <w:marRight w:val="0"/>
      <w:marTop w:val="0"/>
      <w:marBottom w:val="0"/>
      <w:divBdr>
        <w:top w:val="none" w:sz="0" w:space="0" w:color="auto"/>
        <w:left w:val="none" w:sz="0" w:space="0" w:color="auto"/>
        <w:bottom w:val="none" w:sz="0" w:space="0" w:color="auto"/>
        <w:right w:val="none" w:sz="0" w:space="0" w:color="auto"/>
      </w:divBdr>
    </w:div>
    <w:div w:id="946932637">
      <w:bodyDiv w:val="1"/>
      <w:marLeft w:val="0"/>
      <w:marRight w:val="0"/>
      <w:marTop w:val="0"/>
      <w:marBottom w:val="0"/>
      <w:divBdr>
        <w:top w:val="none" w:sz="0" w:space="0" w:color="auto"/>
        <w:left w:val="none" w:sz="0" w:space="0" w:color="auto"/>
        <w:bottom w:val="none" w:sz="0" w:space="0" w:color="auto"/>
        <w:right w:val="none" w:sz="0" w:space="0" w:color="auto"/>
      </w:divBdr>
    </w:div>
    <w:div w:id="947542197">
      <w:bodyDiv w:val="1"/>
      <w:marLeft w:val="0"/>
      <w:marRight w:val="0"/>
      <w:marTop w:val="0"/>
      <w:marBottom w:val="0"/>
      <w:divBdr>
        <w:top w:val="none" w:sz="0" w:space="0" w:color="auto"/>
        <w:left w:val="none" w:sz="0" w:space="0" w:color="auto"/>
        <w:bottom w:val="none" w:sz="0" w:space="0" w:color="auto"/>
        <w:right w:val="none" w:sz="0" w:space="0" w:color="auto"/>
      </w:divBdr>
    </w:div>
    <w:div w:id="950862589">
      <w:bodyDiv w:val="1"/>
      <w:marLeft w:val="0"/>
      <w:marRight w:val="0"/>
      <w:marTop w:val="0"/>
      <w:marBottom w:val="0"/>
      <w:divBdr>
        <w:top w:val="none" w:sz="0" w:space="0" w:color="auto"/>
        <w:left w:val="none" w:sz="0" w:space="0" w:color="auto"/>
        <w:bottom w:val="none" w:sz="0" w:space="0" w:color="auto"/>
        <w:right w:val="none" w:sz="0" w:space="0" w:color="auto"/>
      </w:divBdr>
    </w:div>
    <w:div w:id="955914203">
      <w:bodyDiv w:val="1"/>
      <w:marLeft w:val="0"/>
      <w:marRight w:val="0"/>
      <w:marTop w:val="0"/>
      <w:marBottom w:val="0"/>
      <w:divBdr>
        <w:top w:val="none" w:sz="0" w:space="0" w:color="auto"/>
        <w:left w:val="none" w:sz="0" w:space="0" w:color="auto"/>
        <w:bottom w:val="none" w:sz="0" w:space="0" w:color="auto"/>
        <w:right w:val="none" w:sz="0" w:space="0" w:color="auto"/>
      </w:divBdr>
    </w:div>
    <w:div w:id="958529586">
      <w:bodyDiv w:val="1"/>
      <w:marLeft w:val="0"/>
      <w:marRight w:val="0"/>
      <w:marTop w:val="0"/>
      <w:marBottom w:val="0"/>
      <w:divBdr>
        <w:top w:val="none" w:sz="0" w:space="0" w:color="auto"/>
        <w:left w:val="none" w:sz="0" w:space="0" w:color="auto"/>
        <w:bottom w:val="none" w:sz="0" w:space="0" w:color="auto"/>
        <w:right w:val="none" w:sz="0" w:space="0" w:color="auto"/>
      </w:divBdr>
    </w:div>
    <w:div w:id="963847563">
      <w:bodyDiv w:val="1"/>
      <w:marLeft w:val="0"/>
      <w:marRight w:val="0"/>
      <w:marTop w:val="0"/>
      <w:marBottom w:val="0"/>
      <w:divBdr>
        <w:top w:val="none" w:sz="0" w:space="0" w:color="auto"/>
        <w:left w:val="none" w:sz="0" w:space="0" w:color="auto"/>
        <w:bottom w:val="none" w:sz="0" w:space="0" w:color="auto"/>
        <w:right w:val="none" w:sz="0" w:space="0" w:color="auto"/>
      </w:divBdr>
    </w:div>
    <w:div w:id="968629970">
      <w:bodyDiv w:val="1"/>
      <w:marLeft w:val="0"/>
      <w:marRight w:val="0"/>
      <w:marTop w:val="0"/>
      <w:marBottom w:val="0"/>
      <w:divBdr>
        <w:top w:val="none" w:sz="0" w:space="0" w:color="auto"/>
        <w:left w:val="none" w:sz="0" w:space="0" w:color="auto"/>
        <w:bottom w:val="none" w:sz="0" w:space="0" w:color="auto"/>
        <w:right w:val="none" w:sz="0" w:space="0" w:color="auto"/>
      </w:divBdr>
    </w:div>
    <w:div w:id="968970822">
      <w:bodyDiv w:val="1"/>
      <w:marLeft w:val="0"/>
      <w:marRight w:val="0"/>
      <w:marTop w:val="0"/>
      <w:marBottom w:val="0"/>
      <w:divBdr>
        <w:top w:val="none" w:sz="0" w:space="0" w:color="auto"/>
        <w:left w:val="none" w:sz="0" w:space="0" w:color="auto"/>
        <w:bottom w:val="none" w:sz="0" w:space="0" w:color="auto"/>
        <w:right w:val="none" w:sz="0" w:space="0" w:color="auto"/>
      </w:divBdr>
    </w:div>
    <w:div w:id="969938048">
      <w:bodyDiv w:val="1"/>
      <w:marLeft w:val="0"/>
      <w:marRight w:val="0"/>
      <w:marTop w:val="0"/>
      <w:marBottom w:val="0"/>
      <w:divBdr>
        <w:top w:val="none" w:sz="0" w:space="0" w:color="auto"/>
        <w:left w:val="none" w:sz="0" w:space="0" w:color="auto"/>
        <w:bottom w:val="none" w:sz="0" w:space="0" w:color="auto"/>
        <w:right w:val="none" w:sz="0" w:space="0" w:color="auto"/>
      </w:divBdr>
    </w:div>
    <w:div w:id="972563343">
      <w:bodyDiv w:val="1"/>
      <w:marLeft w:val="0"/>
      <w:marRight w:val="0"/>
      <w:marTop w:val="0"/>
      <w:marBottom w:val="0"/>
      <w:divBdr>
        <w:top w:val="none" w:sz="0" w:space="0" w:color="auto"/>
        <w:left w:val="none" w:sz="0" w:space="0" w:color="auto"/>
        <w:bottom w:val="none" w:sz="0" w:space="0" w:color="auto"/>
        <w:right w:val="none" w:sz="0" w:space="0" w:color="auto"/>
      </w:divBdr>
    </w:div>
    <w:div w:id="976423248">
      <w:bodyDiv w:val="1"/>
      <w:marLeft w:val="0"/>
      <w:marRight w:val="0"/>
      <w:marTop w:val="0"/>
      <w:marBottom w:val="0"/>
      <w:divBdr>
        <w:top w:val="none" w:sz="0" w:space="0" w:color="auto"/>
        <w:left w:val="none" w:sz="0" w:space="0" w:color="auto"/>
        <w:bottom w:val="none" w:sz="0" w:space="0" w:color="auto"/>
        <w:right w:val="none" w:sz="0" w:space="0" w:color="auto"/>
      </w:divBdr>
    </w:div>
    <w:div w:id="979918807">
      <w:bodyDiv w:val="1"/>
      <w:marLeft w:val="0"/>
      <w:marRight w:val="0"/>
      <w:marTop w:val="0"/>
      <w:marBottom w:val="0"/>
      <w:divBdr>
        <w:top w:val="none" w:sz="0" w:space="0" w:color="auto"/>
        <w:left w:val="none" w:sz="0" w:space="0" w:color="auto"/>
        <w:bottom w:val="none" w:sz="0" w:space="0" w:color="auto"/>
        <w:right w:val="none" w:sz="0" w:space="0" w:color="auto"/>
      </w:divBdr>
    </w:div>
    <w:div w:id="981499454">
      <w:bodyDiv w:val="1"/>
      <w:marLeft w:val="0"/>
      <w:marRight w:val="0"/>
      <w:marTop w:val="0"/>
      <w:marBottom w:val="0"/>
      <w:divBdr>
        <w:top w:val="none" w:sz="0" w:space="0" w:color="auto"/>
        <w:left w:val="none" w:sz="0" w:space="0" w:color="auto"/>
        <w:bottom w:val="none" w:sz="0" w:space="0" w:color="auto"/>
        <w:right w:val="none" w:sz="0" w:space="0" w:color="auto"/>
      </w:divBdr>
    </w:div>
    <w:div w:id="984820037">
      <w:bodyDiv w:val="1"/>
      <w:marLeft w:val="0"/>
      <w:marRight w:val="0"/>
      <w:marTop w:val="0"/>
      <w:marBottom w:val="0"/>
      <w:divBdr>
        <w:top w:val="none" w:sz="0" w:space="0" w:color="auto"/>
        <w:left w:val="none" w:sz="0" w:space="0" w:color="auto"/>
        <w:bottom w:val="none" w:sz="0" w:space="0" w:color="auto"/>
        <w:right w:val="none" w:sz="0" w:space="0" w:color="auto"/>
      </w:divBdr>
    </w:div>
    <w:div w:id="985207423">
      <w:bodyDiv w:val="1"/>
      <w:marLeft w:val="0"/>
      <w:marRight w:val="0"/>
      <w:marTop w:val="0"/>
      <w:marBottom w:val="0"/>
      <w:divBdr>
        <w:top w:val="none" w:sz="0" w:space="0" w:color="auto"/>
        <w:left w:val="none" w:sz="0" w:space="0" w:color="auto"/>
        <w:bottom w:val="none" w:sz="0" w:space="0" w:color="auto"/>
        <w:right w:val="none" w:sz="0" w:space="0" w:color="auto"/>
      </w:divBdr>
    </w:div>
    <w:div w:id="989528209">
      <w:bodyDiv w:val="1"/>
      <w:marLeft w:val="0"/>
      <w:marRight w:val="0"/>
      <w:marTop w:val="0"/>
      <w:marBottom w:val="0"/>
      <w:divBdr>
        <w:top w:val="none" w:sz="0" w:space="0" w:color="auto"/>
        <w:left w:val="none" w:sz="0" w:space="0" w:color="auto"/>
        <w:bottom w:val="none" w:sz="0" w:space="0" w:color="auto"/>
        <w:right w:val="none" w:sz="0" w:space="0" w:color="auto"/>
      </w:divBdr>
    </w:div>
    <w:div w:id="1004209971">
      <w:bodyDiv w:val="1"/>
      <w:marLeft w:val="0"/>
      <w:marRight w:val="0"/>
      <w:marTop w:val="0"/>
      <w:marBottom w:val="0"/>
      <w:divBdr>
        <w:top w:val="none" w:sz="0" w:space="0" w:color="auto"/>
        <w:left w:val="none" w:sz="0" w:space="0" w:color="auto"/>
        <w:bottom w:val="none" w:sz="0" w:space="0" w:color="auto"/>
        <w:right w:val="none" w:sz="0" w:space="0" w:color="auto"/>
      </w:divBdr>
    </w:div>
    <w:div w:id="1004822052">
      <w:bodyDiv w:val="1"/>
      <w:marLeft w:val="0"/>
      <w:marRight w:val="0"/>
      <w:marTop w:val="0"/>
      <w:marBottom w:val="0"/>
      <w:divBdr>
        <w:top w:val="none" w:sz="0" w:space="0" w:color="auto"/>
        <w:left w:val="none" w:sz="0" w:space="0" w:color="auto"/>
        <w:bottom w:val="none" w:sz="0" w:space="0" w:color="auto"/>
        <w:right w:val="none" w:sz="0" w:space="0" w:color="auto"/>
      </w:divBdr>
    </w:div>
    <w:div w:id="1004941839">
      <w:bodyDiv w:val="1"/>
      <w:marLeft w:val="0"/>
      <w:marRight w:val="0"/>
      <w:marTop w:val="0"/>
      <w:marBottom w:val="0"/>
      <w:divBdr>
        <w:top w:val="none" w:sz="0" w:space="0" w:color="auto"/>
        <w:left w:val="none" w:sz="0" w:space="0" w:color="auto"/>
        <w:bottom w:val="none" w:sz="0" w:space="0" w:color="auto"/>
        <w:right w:val="none" w:sz="0" w:space="0" w:color="auto"/>
      </w:divBdr>
    </w:div>
    <w:div w:id="1006516928">
      <w:bodyDiv w:val="1"/>
      <w:marLeft w:val="0"/>
      <w:marRight w:val="0"/>
      <w:marTop w:val="0"/>
      <w:marBottom w:val="0"/>
      <w:divBdr>
        <w:top w:val="none" w:sz="0" w:space="0" w:color="auto"/>
        <w:left w:val="none" w:sz="0" w:space="0" w:color="auto"/>
        <w:bottom w:val="none" w:sz="0" w:space="0" w:color="auto"/>
        <w:right w:val="none" w:sz="0" w:space="0" w:color="auto"/>
      </w:divBdr>
    </w:div>
    <w:div w:id="1013921755">
      <w:bodyDiv w:val="1"/>
      <w:marLeft w:val="0"/>
      <w:marRight w:val="0"/>
      <w:marTop w:val="0"/>
      <w:marBottom w:val="0"/>
      <w:divBdr>
        <w:top w:val="none" w:sz="0" w:space="0" w:color="auto"/>
        <w:left w:val="none" w:sz="0" w:space="0" w:color="auto"/>
        <w:bottom w:val="none" w:sz="0" w:space="0" w:color="auto"/>
        <w:right w:val="none" w:sz="0" w:space="0" w:color="auto"/>
      </w:divBdr>
    </w:div>
    <w:div w:id="1015574684">
      <w:bodyDiv w:val="1"/>
      <w:marLeft w:val="0"/>
      <w:marRight w:val="0"/>
      <w:marTop w:val="0"/>
      <w:marBottom w:val="0"/>
      <w:divBdr>
        <w:top w:val="none" w:sz="0" w:space="0" w:color="auto"/>
        <w:left w:val="none" w:sz="0" w:space="0" w:color="auto"/>
        <w:bottom w:val="none" w:sz="0" w:space="0" w:color="auto"/>
        <w:right w:val="none" w:sz="0" w:space="0" w:color="auto"/>
      </w:divBdr>
    </w:div>
    <w:div w:id="1020088353">
      <w:bodyDiv w:val="1"/>
      <w:marLeft w:val="0"/>
      <w:marRight w:val="0"/>
      <w:marTop w:val="0"/>
      <w:marBottom w:val="0"/>
      <w:divBdr>
        <w:top w:val="none" w:sz="0" w:space="0" w:color="auto"/>
        <w:left w:val="none" w:sz="0" w:space="0" w:color="auto"/>
        <w:bottom w:val="none" w:sz="0" w:space="0" w:color="auto"/>
        <w:right w:val="none" w:sz="0" w:space="0" w:color="auto"/>
      </w:divBdr>
    </w:div>
    <w:div w:id="1022122018">
      <w:bodyDiv w:val="1"/>
      <w:marLeft w:val="0"/>
      <w:marRight w:val="0"/>
      <w:marTop w:val="0"/>
      <w:marBottom w:val="0"/>
      <w:divBdr>
        <w:top w:val="none" w:sz="0" w:space="0" w:color="auto"/>
        <w:left w:val="none" w:sz="0" w:space="0" w:color="auto"/>
        <w:bottom w:val="none" w:sz="0" w:space="0" w:color="auto"/>
        <w:right w:val="none" w:sz="0" w:space="0" w:color="auto"/>
      </w:divBdr>
    </w:div>
    <w:div w:id="1024331388">
      <w:bodyDiv w:val="1"/>
      <w:marLeft w:val="0"/>
      <w:marRight w:val="0"/>
      <w:marTop w:val="0"/>
      <w:marBottom w:val="0"/>
      <w:divBdr>
        <w:top w:val="none" w:sz="0" w:space="0" w:color="auto"/>
        <w:left w:val="none" w:sz="0" w:space="0" w:color="auto"/>
        <w:bottom w:val="none" w:sz="0" w:space="0" w:color="auto"/>
        <w:right w:val="none" w:sz="0" w:space="0" w:color="auto"/>
      </w:divBdr>
    </w:div>
    <w:div w:id="1024400542">
      <w:bodyDiv w:val="1"/>
      <w:marLeft w:val="0"/>
      <w:marRight w:val="0"/>
      <w:marTop w:val="0"/>
      <w:marBottom w:val="0"/>
      <w:divBdr>
        <w:top w:val="none" w:sz="0" w:space="0" w:color="auto"/>
        <w:left w:val="none" w:sz="0" w:space="0" w:color="auto"/>
        <w:bottom w:val="none" w:sz="0" w:space="0" w:color="auto"/>
        <w:right w:val="none" w:sz="0" w:space="0" w:color="auto"/>
      </w:divBdr>
    </w:div>
    <w:div w:id="1026714623">
      <w:bodyDiv w:val="1"/>
      <w:marLeft w:val="0"/>
      <w:marRight w:val="0"/>
      <w:marTop w:val="0"/>
      <w:marBottom w:val="0"/>
      <w:divBdr>
        <w:top w:val="none" w:sz="0" w:space="0" w:color="auto"/>
        <w:left w:val="none" w:sz="0" w:space="0" w:color="auto"/>
        <w:bottom w:val="none" w:sz="0" w:space="0" w:color="auto"/>
        <w:right w:val="none" w:sz="0" w:space="0" w:color="auto"/>
      </w:divBdr>
    </w:div>
    <w:div w:id="1034311301">
      <w:bodyDiv w:val="1"/>
      <w:marLeft w:val="0"/>
      <w:marRight w:val="0"/>
      <w:marTop w:val="0"/>
      <w:marBottom w:val="0"/>
      <w:divBdr>
        <w:top w:val="none" w:sz="0" w:space="0" w:color="auto"/>
        <w:left w:val="none" w:sz="0" w:space="0" w:color="auto"/>
        <w:bottom w:val="none" w:sz="0" w:space="0" w:color="auto"/>
        <w:right w:val="none" w:sz="0" w:space="0" w:color="auto"/>
      </w:divBdr>
    </w:div>
    <w:div w:id="1038050337">
      <w:bodyDiv w:val="1"/>
      <w:marLeft w:val="0"/>
      <w:marRight w:val="0"/>
      <w:marTop w:val="0"/>
      <w:marBottom w:val="0"/>
      <w:divBdr>
        <w:top w:val="none" w:sz="0" w:space="0" w:color="auto"/>
        <w:left w:val="none" w:sz="0" w:space="0" w:color="auto"/>
        <w:bottom w:val="none" w:sz="0" w:space="0" w:color="auto"/>
        <w:right w:val="none" w:sz="0" w:space="0" w:color="auto"/>
      </w:divBdr>
    </w:div>
    <w:div w:id="1039361275">
      <w:bodyDiv w:val="1"/>
      <w:marLeft w:val="0"/>
      <w:marRight w:val="0"/>
      <w:marTop w:val="0"/>
      <w:marBottom w:val="0"/>
      <w:divBdr>
        <w:top w:val="none" w:sz="0" w:space="0" w:color="auto"/>
        <w:left w:val="none" w:sz="0" w:space="0" w:color="auto"/>
        <w:bottom w:val="none" w:sz="0" w:space="0" w:color="auto"/>
        <w:right w:val="none" w:sz="0" w:space="0" w:color="auto"/>
      </w:divBdr>
    </w:div>
    <w:div w:id="1040781456">
      <w:bodyDiv w:val="1"/>
      <w:marLeft w:val="0"/>
      <w:marRight w:val="0"/>
      <w:marTop w:val="0"/>
      <w:marBottom w:val="0"/>
      <w:divBdr>
        <w:top w:val="none" w:sz="0" w:space="0" w:color="auto"/>
        <w:left w:val="none" w:sz="0" w:space="0" w:color="auto"/>
        <w:bottom w:val="none" w:sz="0" w:space="0" w:color="auto"/>
        <w:right w:val="none" w:sz="0" w:space="0" w:color="auto"/>
      </w:divBdr>
    </w:div>
    <w:div w:id="1041126788">
      <w:bodyDiv w:val="1"/>
      <w:marLeft w:val="0"/>
      <w:marRight w:val="0"/>
      <w:marTop w:val="0"/>
      <w:marBottom w:val="0"/>
      <w:divBdr>
        <w:top w:val="none" w:sz="0" w:space="0" w:color="auto"/>
        <w:left w:val="none" w:sz="0" w:space="0" w:color="auto"/>
        <w:bottom w:val="none" w:sz="0" w:space="0" w:color="auto"/>
        <w:right w:val="none" w:sz="0" w:space="0" w:color="auto"/>
      </w:divBdr>
    </w:div>
    <w:div w:id="1041128439">
      <w:bodyDiv w:val="1"/>
      <w:marLeft w:val="0"/>
      <w:marRight w:val="0"/>
      <w:marTop w:val="0"/>
      <w:marBottom w:val="0"/>
      <w:divBdr>
        <w:top w:val="none" w:sz="0" w:space="0" w:color="auto"/>
        <w:left w:val="none" w:sz="0" w:space="0" w:color="auto"/>
        <w:bottom w:val="none" w:sz="0" w:space="0" w:color="auto"/>
        <w:right w:val="none" w:sz="0" w:space="0" w:color="auto"/>
      </w:divBdr>
    </w:div>
    <w:div w:id="1041780258">
      <w:bodyDiv w:val="1"/>
      <w:marLeft w:val="0"/>
      <w:marRight w:val="0"/>
      <w:marTop w:val="0"/>
      <w:marBottom w:val="0"/>
      <w:divBdr>
        <w:top w:val="none" w:sz="0" w:space="0" w:color="auto"/>
        <w:left w:val="none" w:sz="0" w:space="0" w:color="auto"/>
        <w:bottom w:val="none" w:sz="0" w:space="0" w:color="auto"/>
        <w:right w:val="none" w:sz="0" w:space="0" w:color="auto"/>
      </w:divBdr>
    </w:div>
    <w:div w:id="1043167516">
      <w:bodyDiv w:val="1"/>
      <w:marLeft w:val="0"/>
      <w:marRight w:val="0"/>
      <w:marTop w:val="0"/>
      <w:marBottom w:val="0"/>
      <w:divBdr>
        <w:top w:val="none" w:sz="0" w:space="0" w:color="auto"/>
        <w:left w:val="none" w:sz="0" w:space="0" w:color="auto"/>
        <w:bottom w:val="none" w:sz="0" w:space="0" w:color="auto"/>
        <w:right w:val="none" w:sz="0" w:space="0" w:color="auto"/>
      </w:divBdr>
    </w:div>
    <w:div w:id="1044334265">
      <w:bodyDiv w:val="1"/>
      <w:marLeft w:val="0"/>
      <w:marRight w:val="0"/>
      <w:marTop w:val="0"/>
      <w:marBottom w:val="0"/>
      <w:divBdr>
        <w:top w:val="none" w:sz="0" w:space="0" w:color="auto"/>
        <w:left w:val="none" w:sz="0" w:space="0" w:color="auto"/>
        <w:bottom w:val="none" w:sz="0" w:space="0" w:color="auto"/>
        <w:right w:val="none" w:sz="0" w:space="0" w:color="auto"/>
      </w:divBdr>
    </w:div>
    <w:div w:id="1048341422">
      <w:bodyDiv w:val="1"/>
      <w:marLeft w:val="0"/>
      <w:marRight w:val="0"/>
      <w:marTop w:val="0"/>
      <w:marBottom w:val="0"/>
      <w:divBdr>
        <w:top w:val="none" w:sz="0" w:space="0" w:color="auto"/>
        <w:left w:val="none" w:sz="0" w:space="0" w:color="auto"/>
        <w:bottom w:val="none" w:sz="0" w:space="0" w:color="auto"/>
        <w:right w:val="none" w:sz="0" w:space="0" w:color="auto"/>
      </w:divBdr>
    </w:div>
    <w:div w:id="1053895723">
      <w:bodyDiv w:val="1"/>
      <w:marLeft w:val="0"/>
      <w:marRight w:val="0"/>
      <w:marTop w:val="0"/>
      <w:marBottom w:val="0"/>
      <w:divBdr>
        <w:top w:val="none" w:sz="0" w:space="0" w:color="auto"/>
        <w:left w:val="none" w:sz="0" w:space="0" w:color="auto"/>
        <w:bottom w:val="none" w:sz="0" w:space="0" w:color="auto"/>
        <w:right w:val="none" w:sz="0" w:space="0" w:color="auto"/>
      </w:divBdr>
    </w:div>
    <w:div w:id="1054429892">
      <w:bodyDiv w:val="1"/>
      <w:marLeft w:val="0"/>
      <w:marRight w:val="0"/>
      <w:marTop w:val="0"/>
      <w:marBottom w:val="0"/>
      <w:divBdr>
        <w:top w:val="none" w:sz="0" w:space="0" w:color="auto"/>
        <w:left w:val="none" w:sz="0" w:space="0" w:color="auto"/>
        <w:bottom w:val="none" w:sz="0" w:space="0" w:color="auto"/>
        <w:right w:val="none" w:sz="0" w:space="0" w:color="auto"/>
      </w:divBdr>
    </w:div>
    <w:div w:id="1057895753">
      <w:bodyDiv w:val="1"/>
      <w:marLeft w:val="0"/>
      <w:marRight w:val="0"/>
      <w:marTop w:val="0"/>
      <w:marBottom w:val="0"/>
      <w:divBdr>
        <w:top w:val="none" w:sz="0" w:space="0" w:color="auto"/>
        <w:left w:val="none" w:sz="0" w:space="0" w:color="auto"/>
        <w:bottom w:val="none" w:sz="0" w:space="0" w:color="auto"/>
        <w:right w:val="none" w:sz="0" w:space="0" w:color="auto"/>
      </w:divBdr>
    </w:div>
    <w:div w:id="1059130318">
      <w:bodyDiv w:val="1"/>
      <w:marLeft w:val="0"/>
      <w:marRight w:val="0"/>
      <w:marTop w:val="0"/>
      <w:marBottom w:val="0"/>
      <w:divBdr>
        <w:top w:val="none" w:sz="0" w:space="0" w:color="auto"/>
        <w:left w:val="none" w:sz="0" w:space="0" w:color="auto"/>
        <w:bottom w:val="none" w:sz="0" w:space="0" w:color="auto"/>
        <w:right w:val="none" w:sz="0" w:space="0" w:color="auto"/>
      </w:divBdr>
    </w:div>
    <w:div w:id="1063025290">
      <w:bodyDiv w:val="1"/>
      <w:marLeft w:val="0"/>
      <w:marRight w:val="0"/>
      <w:marTop w:val="0"/>
      <w:marBottom w:val="0"/>
      <w:divBdr>
        <w:top w:val="none" w:sz="0" w:space="0" w:color="auto"/>
        <w:left w:val="none" w:sz="0" w:space="0" w:color="auto"/>
        <w:bottom w:val="none" w:sz="0" w:space="0" w:color="auto"/>
        <w:right w:val="none" w:sz="0" w:space="0" w:color="auto"/>
      </w:divBdr>
    </w:div>
    <w:div w:id="1063716898">
      <w:bodyDiv w:val="1"/>
      <w:marLeft w:val="0"/>
      <w:marRight w:val="0"/>
      <w:marTop w:val="0"/>
      <w:marBottom w:val="0"/>
      <w:divBdr>
        <w:top w:val="none" w:sz="0" w:space="0" w:color="auto"/>
        <w:left w:val="none" w:sz="0" w:space="0" w:color="auto"/>
        <w:bottom w:val="none" w:sz="0" w:space="0" w:color="auto"/>
        <w:right w:val="none" w:sz="0" w:space="0" w:color="auto"/>
      </w:divBdr>
    </w:div>
    <w:div w:id="1067453758">
      <w:bodyDiv w:val="1"/>
      <w:marLeft w:val="0"/>
      <w:marRight w:val="0"/>
      <w:marTop w:val="0"/>
      <w:marBottom w:val="0"/>
      <w:divBdr>
        <w:top w:val="none" w:sz="0" w:space="0" w:color="auto"/>
        <w:left w:val="none" w:sz="0" w:space="0" w:color="auto"/>
        <w:bottom w:val="none" w:sz="0" w:space="0" w:color="auto"/>
        <w:right w:val="none" w:sz="0" w:space="0" w:color="auto"/>
      </w:divBdr>
    </w:div>
    <w:div w:id="1071777933">
      <w:bodyDiv w:val="1"/>
      <w:marLeft w:val="0"/>
      <w:marRight w:val="0"/>
      <w:marTop w:val="0"/>
      <w:marBottom w:val="0"/>
      <w:divBdr>
        <w:top w:val="none" w:sz="0" w:space="0" w:color="auto"/>
        <w:left w:val="none" w:sz="0" w:space="0" w:color="auto"/>
        <w:bottom w:val="none" w:sz="0" w:space="0" w:color="auto"/>
        <w:right w:val="none" w:sz="0" w:space="0" w:color="auto"/>
      </w:divBdr>
    </w:div>
    <w:div w:id="1072895301">
      <w:bodyDiv w:val="1"/>
      <w:marLeft w:val="0"/>
      <w:marRight w:val="0"/>
      <w:marTop w:val="0"/>
      <w:marBottom w:val="0"/>
      <w:divBdr>
        <w:top w:val="none" w:sz="0" w:space="0" w:color="auto"/>
        <w:left w:val="none" w:sz="0" w:space="0" w:color="auto"/>
        <w:bottom w:val="none" w:sz="0" w:space="0" w:color="auto"/>
        <w:right w:val="none" w:sz="0" w:space="0" w:color="auto"/>
      </w:divBdr>
    </w:div>
    <w:div w:id="1073816491">
      <w:bodyDiv w:val="1"/>
      <w:marLeft w:val="0"/>
      <w:marRight w:val="0"/>
      <w:marTop w:val="0"/>
      <w:marBottom w:val="0"/>
      <w:divBdr>
        <w:top w:val="none" w:sz="0" w:space="0" w:color="auto"/>
        <w:left w:val="none" w:sz="0" w:space="0" w:color="auto"/>
        <w:bottom w:val="none" w:sz="0" w:space="0" w:color="auto"/>
        <w:right w:val="none" w:sz="0" w:space="0" w:color="auto"/>
      </w:divBdr>
    </w:div>
    <w:div w:id="1074620048">
      <w:bodyDiv w:val="1"/>
      <w:marLeft w:val="0"/>
      <w:marRight w:val="0"/>
      <w:marTop w:val="0"/>
      <w:marBottom w:val="0"/>
      <w:divBdr>
        <w:top w:val="none" w:sz="0" w:space="0" w:color="auto"/>
        <w:left w:val="none" w:sz="0" w:space="0" w:color="auto"/>
        <w:bottom w:val="none" w:sz="0" w:space="0" w:color="auto"/>
        <w:right w:val="none" w:sz="0" w:space="0" w:color="auto"/>
      </w:divBdr>
    </w:div>
    <w:div w:id="1075393960">
      <w:bodyDiv w:val="1"/>
      <w:marLeft w:val="0"/>
      <w:marRight w:val="0"/>
      <w:marTop w:val="0"/>
      <w:marBottom w:val="0"/>
      <w:divBdr>
        <w:top w:val="none" w:sz="0" w:space="0" w:color="auto"/>
        <w:left w:val="none" w:sz="0" w:space="0" w:color="auto"/>
        <w:bottom w:val="none" w:sz="0" w:space="0" w:color="auto"/>
        <w:right w:val="none" w:sz="0" w:space="0" w:color="auto"/>
      </w:divBdr>
    </w:div>
    <w:div w:id="1075661200">
      <w:bodyDiv w:val="1"/>
      <w:marLeft w:val="0"/>
      <w:marRight w:val="0"/>
      <w:marTop w:val="0"/>
      <w:marBottom w:val="0"/>
      <w:divBdr>
        <w:top w:val="none" w:sz="0" w:space="0" w:color="auto"/>
        <w:left w:val="none" w:sz="0" w:space="0" w:color="auto"/>
        <w:bottom w:val="none" w:sz="0" w:space="0" w:color="auto"/>
        <w:right w:val="none" w:sz="0" w:space="0" w:color="auto"/>
      </w:divBdr>
    </w:div>
    <w:div w:id="1081949765">
      <w:bodyDiv w:val="1"/>
      <w:marLeft w:val="0"/>
      <w:marRight w:val="0"/>
      <w:marTop w:val="0"/>
      <w:marBottom w:val="0"/>
      <w:divBdr>
        <w:top w:val="none" w:sz="0" w:space="0" w:color="auto"/>
        <w:left w:val="none" w:sz="0" w:space="0" w:color="auto"/>
        <w:bottom w:val="none" w:sz="0" w:space="0" w:color="auto"/>
        <w:right w:val="none" w:sz="0" w:space="0" w:color="auto"/>
      </w:divBdr>
    </w:div>
    <w:div w:id="1092777346">
      <w:bodyDiv w:val="1"/>
      <w:marLeft w:val="0"/>
      <w:marRight w:val="0"/>
      <w:marTop w:val="0"/>
      <w:marBottom w:val="0"/>
      <w:divBdr>
        <w:top w:val="none" w:sz="0" w:space="0" w:color="auto"/>
        <w:left w:val="none" w:sz="0" w:space="0" w:color="auto"/>
        <w:bottom w:val="none" w:sz="0" w:space="0" w:color="auto"/>
        <w:right w:val="none" w:sz="0" w:space="0" w:color="auto"/>
      </w:divBdr>
    </w:div>
    <w:div w:id="1095588349">
      <w:bodyDiv w:val="1"/>
      <w:marLeft w:val="0"/>
      <w:marRight w:val="0"/>
      <w:marTop w:val="0"/>
      <w:marBottom w:val="0"/>
      <w:divBdr>
        <w:top w:val="none" w:sz="0" w:space="0" w:color="auto"/>
        <w:left w:val="none" w:sz="0" w:space="0" w:color="auto"/>
        <w:bottom w:val="none" w:sz="0" w:space="0" w:color="auto"/>
        <w:right w:val="none" w:sz="0" w:space="0" w:color="auto"/>
      </w:divBdr>
    </w:div>
    <w:div w:id="1098603356">
      <w:bodyDiv w:val="1"/>
      <w:marLeft w:val="0"/>
      <w:marRight w:val="0"/>
      <w:marTop w:val="0"/>
      <w:marBottom w:val="0"/>
      <w:divBdr>
        <w:top w:val="none" w:sz="0" w:space="0" w:color="auto"/>
        <w:left w:val="none" w:sz="0" w:space="0" w:color="auto"/>
        <w:bottom w:val="none" w:sz="0" w:space="0" w:color="auto"/>
        <w:right w:val="none" w:sz="0" w:space="0" w:color="auto"/>
      </w:divBdr>
    </w:div>
    <w:div w:id="1104300331">
      <w:bodyDiv w:val="1"/>
      <w:marLeft w:val="0"/>
      <w:marRight w:val="0"/>
      <w:marTop w:val="0"/>
      <w:marBottom w:val="0"/>
      <w:divBdr>
        <w:top w:val="none" w:sz="0" w:space="0" w:color="auto"/>
        <w:left w:val="none" w:sz="0" w:space="0" w:color="auto"/>
        <w:bottom w:val="none" w:sz="0" w:space="0" w:color="auto"/>
        <w:right w:val="none" w:sz="0" w:space="0" w:color="auto"/>
      </w:divBdr>
    </w:div>
    <w:div w:id="1105031827">
      <w:bodyDiv w:val="1"/>
      <w:marLeft w:val="0"/>
      <w:marRight w:val="0"/>
      <w:marTop w:val="0"/>
      <w:marBottom w:val="0"/>
      <w:divBdr>
        <w:top w:val="none" w:sz="0" w:space="0" w:color="auto"/>
        <w:left w:val="none" w:sz="0" w:space="0" w:color="auto"/>
        <w:bottom w:val="none" w:sz="0" w:space="0" w:color="auto"/>
        <w:right w:val="none" w:sz="0" w:space="0" w:color="auto"/>
      </w:divBdr>
    </w:div>
    <w:div w:id="1116144740">
      <w:bodyDiv w:val="1"/>
      <w:marLeft w:val="0"/>
      <w:marRight w:val="0"/>
      <w:marTop w:val="0"/>
      <w:marBottom w:val="0"/>
      <w:divBdr>
        <w:top w:val="none" w:sz="0" w:space="0" w:color="auto"/>
        <w:left w:val="none" w:sz="0" w:space="0" w:color="auto"/>
        <w:bottom w:val="none" w:sz="0" w:space="0" w:color="auto"/>
        <w:right w:val="none" w:sz="0" w:space="0" w:color="auto"/>
      </w:divBdr>
    </w:div>
    <w:div w:id="1120344913">
      <w:bodyDiv w:val="1"/>
      <w:marLeft w:val="0"/>
      <w:marRight w:val="0"/>
      <w:marTop w:val="0"/>
      <w:marBottom w:val="0"/>
      <w:divBdr>
        <w:top w:val="none" w:sz="0" w:space="0" w:color="auto"/>
        <w:left w:val="none" w:sz="0" w:space="0" w:color="auto"/>
        <w:bottom w:val="none" w:sz="0" w:space="0" w:color="auto"/>
        <w:right w:val="none" w:sz="0" w:space="0" w:color="auto"/>
      </w:divBdr>
    </w:div>
    <w:div w:id="1121068822">
      <w:bodyDiv w:val="1"/>
      <w:marLeft w:val="0"/>
      <w:marRight w:val="0"/>
      <w:marTop w:val="0"/>
      <w:marBottom w:val="0"/>
      <w:divBdr>
        <w:top w:val="none" w:sz="0" w:space="0" w:color="auto"/>
        <w:left w:val="none" w:sz="0" w:space="0" w:color="auto"/>
        <w:bottom w:val="none" w:sz="0" w:space="0" w:color="auto"/>
        <w:right w:val="none" w:sz="0" w:space="0" w:color="auto"/>
      </w:divBdr>
    </w:div>
    <w:div w:id="1128357495">
      <w:bodyDiv w:val="1"/>
      <w:marLeft w:val="0"/>
      <w:marRight w:val="0"/>
      <w:marTop w:val="0"/>
      <w:marBottom w:val="0"/>
      <w:divBdr>
        <w:top w:val="none" w:sz="0" w:space="0" w:color="auto"/>
        <w:left w:val="none" w:sz="0" w:space="0" w:color="auto"/>
        <w:bottom w:val="none" w:sz="0" w:space="0" w:color="auto"/>
        <w:right w:val="none" w:sz="0" w:space="0" w:color="auto"/>
      </w:divBdr>
    </w:div>
    <w:div w:id="1128471362">
      <w:bodyDiv w:val="1"/>
      <w:marLeft w:val="0"/>
      <w:marRight w:val="0"/>
      <w:marTop w:val="0"/>
      <w:marBottom w:val="0"/>
      <w:divBdr>
        <w:top w:val="none" w:sz="0" w:space="0" w:color="auto"/>
        <w:left w:val="none" w:sz="0" w:space="0" w:color="auto"/>
        <w:bottom w:val="none" w:sz="0" w:space="0" w:color="auto"/>
        <w:right w:val="none" w:sz="0" w:space="0" w:color="auto"/>
      </w:divBdr>
    </w:div>
    <w:div w:id="1131291070">
      <w:bodyDiv w:val="1"/>
      <w:marLeft w:val="0"/>
      <w:marRight w:val="0"/>
      <w:marTop w:val="0"/>
      <w:marBottom w:val="0"/>
      <w:divBdr>
        <w:top w:val="none" w:sz="0" w:space="0" w:color="auto"/>
        <w:left w:val="none" w:sz="0" w:space="0" w:color="auto"/>
        <w:bottom w:val="none" w:sz="0" w:space="0" w:color="auto"/>
        <w:right w:val="none" w:sz="0" w:space="0" w:color="auto"/>
      </w:divBdr>
    </w:div>
    <w:div w:id="1132140429">
      <w:bodyDiv w:val="1"/>
      <w:marLeft w:val="0"/>
      <w:marRight w:val="0"/>
      <w:marTop w:val="0"/>
      <w:marBottom w:val="0"/>
      <w:divBdr>
        <w:top w:val="none" w:sz="0" w:space="0" w:color="auto"/>
        <w:left w:val="none" w:sz="0" w:space="0" w:color="auto"/>
        <w:bottom w:val="none" w:sz="0" w:space="0" w:color="auto"/>
        <w:right w:val="none" w:sz="0" w:space="0" w:color="auto"/>
      </w:divBdr>
    </w:div>
    <w:div w:id="1137644894">
      <w:bodyDiv w:val="1"/>
      <w:marLeft w:val="0"/>
      <w:marRight w:val="0"/>
      <w:marTop w:val="0"/>
      <w:marBottom w:val="0"/>
      <w:divBdr>
        <w:top w:val="none" w:sz="0" w:space="0" w:color="auto"/>
        <w:left w:val="none" w:sz="0" w:space="0" w:color="auto"/>
        <w:bottom w:val="none" w:sz="0" w:space="0" w:color="auto"/>
        <w:right w:val="none" w:sz="0" w:space="0" w:color="auto"/>
      </w:divBdr>
    </w:div>
    <w:div w:id="1145008827">
      <w:bodyDiv w:val="1"/>
      <w:marLeft w:val="0"/>
      <w:marRight w:val="0"/>
      <w:marTop w:val="0"/>
      <w:marBottom w:val="0"/>
      <w:divBdr>
        <w:top w:val="none" w:sz="0" w:space="0" w:color="auto"/>
        <w:left w:val="none" w:sz="0" w:space="0" w:color="auto"/>
        <w:bottom w:val="none" w:sz="0" w:space="0" w:color="auto"/>
        <w:right w:val="none" w:sz="0" w:space="0" w:color="auto"/>
      </w:divBdr>
    </w:div>
    <w:div w:id="1146698397">
      <w:bodyDiv w:val="1"/>
      <w:marLeft w:val="0"/>
      <w:marRight w:val="0"/>
      <w:marTop w:val="0"/>
      <w:marBottom w:val="0"/>
      <w:divBdr>
        <w:top w:val="none" w:sz="0" w:space="0" w:color="auto"/>
        <w:left w:val="none" w:sz="0" w:space="0" w:color="auto"/>
        <w:bottom w:val="none" w:sz="0" w:space="0" w:color="auto"/>
        <w:right w:val="none" w:sz="0" w:space="0" w:color="auto"/>
      </w:divBdr>
    </w:div>
    <w:div w:id="1153834986">
      <w:bodyDiv w:val="1"/>
      <w:marLeft w:val="0"/>
      <w:marRight w:val="0"/>
      <w:marTop w:val="0"/>
      <w:marBottom w:val="0"/>
      <w:divBdr>
        <w:top w:val="none" w:sz="0" w:space="0" w:color="auto"/>
        <w:left w:val="none" w:sz="0" w:space="0" w:color="auto"/>
        <w:bottom w:val="none" w:sz="0" w:space="0" w:color="auto"/>
        <w:right w:val="none" w:sz="0" w:space="0" w:color="auto"/>
      </w:divBdr>
    </w:div>
    <w:div w:id="1155561708">
      <w:bodyDiv w:val="1"/>
      <w:marLeft w:val="0"/>
      <w:marRight w:val="0"/>
      <w:marTop w:val="0"/>
      <w:marBottom w:val="0"/>
      <w:divBdr>
        <w:top w:val="none" w:sz="0" w:space="0" w:color="auto"/>
        <w:left w:val="none" w:sz="0" w:space="0" w:color="auto"/>
        <w:bottom w:val="none" w:sz="0" w:space="0" w:color="auto"/>
        <w:right w:val="none" w:sz="0" w:space="0" w:color="auto"/>
      </w:divBdr>
    </w:div>
    <w:div w:id="1157108139">
      <w:bodyDiv w:val="1"/>
      <w:marLeft w:val="0"/>
      <w:marRight w:val="0"/>
      <w:marTop w:val="0"/>
      <w:marBottom w:val="0"/>
      <w:divBdr>
        <w:top w:val="none" w:sz="0" w:space="0" w:color="auto"/>
        <w:left w:val="none" w:sz="0" w:space="0" w:color="auto"/>
        <w:bottom w:val="none" w:sz="0" w:space="0" w:color="auto"/>
        <w:right w:val="none" w:sz="0" w:space="0" w:color="auto"/>
      </w:divBdr>
    </w:div>
    <w:div w:id="1157919146">
      <w:bodyDiv w:val="1"/>
      <w:marLeft w:val="0"/>
      <w:marRight w:val="0"/>
      <w:marTop w:val="0"/>
      <w:marBottom w:val="0"/>
      <w:divBdr>
        <w:top w:val="none" w:sz="0" w:space="0" w:color="auto"/>
        <w:left w:val="none" w:sz="0" w:space="0" w:color="auto"/>
        <w:bottom w:val="none" w:sz="0" w:space="0" w:color="auto"/>
        <w:right w:val="none" w:sz="0" w:space="0" w:color="auto"/>
      </w:divBdr>
    </w:div>
    <w:div w:id="1158813693">
      <w:bodyDiv w:val="1"/>
      <w:marLeft w:val="0"/>
      <w:marRight w:val="0"/>
      <w:marTop w:val="0"/>
      <w:marBottom w:val="0"/>
      <w:divBdr>
        <w:top w:val="none" w:sz="0" w:space="0" w:color="auto"/>
        <w:left w:val="none" w:sz="0" w:space="0" w:color="auto"/>
        <w:bottom w:val="none" w:sz="0" w:space="0" w:color="auto"/>
        <w:right w:val="none" w:sz="0" w:space="0" w:color="auto"/>
      </w:divBdr>
    </w:div>
    <w:div w:id="1161384482">
      <w:bodyDiv w:val="1"/>
      <w:marLeft w:val="0"/>
      <w:marRight w:val="0"/>
      <w:marTop w:val="0"/>
      <w:marBottom w:val="0"/>
      <w:divBdr>
        <w:top w:val="none" w:sz="0" w:space="0" w:color="auto"/>
        <w:left w:val="none" w:sz="0" w:space="0" w:color="auto"/>
        <w:bottom w:val="none" w:sz="0" w:space="0" w:color="auto"/>
        <w:right w:val="none" w:sz="0" w:space="0" w:color="auto"/>
      </w:divBdr>
    </w:div>
    <w:div w:id="1163667358">
      <w:bodyDiv w:val="1"/>
      <w:marLeft w:val="0"/>
      <w:marRight w:val="0"/>
      <w:marTop w:val="0"/>
      <w:marBottom w:val="0"/>
      <w:divBdr>
        <w:top w:val="none" w:sz="0" w:space="0" w:color="auto"/>
        <w:left w:val="none" w:sz="0" w:space="0" w:color="auto"/>
        <w:bottom w:val="none" w:sz="0" w:space="0" w:color="auto"/>
        <w:right w:val="none" w:sz="0" w:space="0" w:color="auto"/>
      </w:divBdr>
    </w:div>
    <w:div w:id="1171992178">
      <w:bodyDiv w:val="1"/>
      <w:marLeft w:val="0"/>
      <w:marRight w:val="0"/>
      <w:marTop w:val="0"/>
      <w:marBottom w:val="0"/>
      <w:divBdr>
        <w:top w:val="none" w:sz="0" w:space="0" w:color="auto"/>
        <w:left w:val="none" w:sz="0" w:space="0" w:color="auto"/>
        <w:bottom w:val="none" w:sz="0" w:space="0" w:color="auto"/>
        <w:right w:val="none" w:sz="0" w:space="0" w:color="auto"/>
      </w:divBdr>
    </w:div>
    <w:div w:id="1174296564">
      <w:bodyDiv w:val="1"/>
      <w:marLeft w:val="0"/>
      <w:marRight w:val="0"/>
      <w:marTop w:val="0"/>
      <w:marBottom w:val="0"/>
      <w:divBdr>
        <w:top w:val="none" w:sz="0" w:space="0" w:color="auto"/>
        <w:left w:val="none" w:sz="0" w:space="0" w:color="auto"/>
        <w:bottom w:val="none" w:sz="0" w:space="0" w:color="auto"/>
        <w:right w:val="none" w:sz="0" w:space="0" w:color="auto"/>
      </w:divBdr>
    </w:div>
    <w:div w:id="1175730682">
      <w:bodyDiv w:val="1"/>
      <w:marLeft w:val="0"/>
      <w:marRight w:val="0"/>
      <w:marTop w:val="0"/>
      <w:marBottom w:val="0"/>
      <w:divBdr>
        <w:top w:val="none" w:sz="0" w:space="0" w:color="auto"/>
        <w:left w:val="none" w:sz="0" w:space="0" w:color="auto"/>
        <w:bottom w:val="none" w:sz="0" w:space="0" w:color="auto"/>
        <w:right w:val="none" w:sz="0" w:space="0" w:color="auto"/>
      </w:divBdr>
    </w:div>
    <w:div w:id="1180975012">
      <w:bodyDiv w:val="1"/>
      <w:marLeft w:val="0"/>
      <w:marRight w:val="0"/>
      <w:marTop w:val="0"/>
      <w:marBottom w:val="0"/>
      <w:divBdr>
        <w:top w:val="none" w:sz="0" w:space="0" w:color="auto"/>
        <w:left w:val="none" w:sz="0" w:space="0" w:color="auto"/>
        <w:bottom w:val="none" w:sz="0" w:space="0" w:color="auto"/>
        <w:right w:val="none" w:sz="0" w:space="0" w:color="auto"/>
      </w:divBdr>
    </w:div>
    <w:div w:id="1182207110">
      <w:bodyDiv w:val="1"/>
      <w:marLeft w:val="0"/>
      <w:marRight w:val="0"/>
      <w:marTop w:val="0"/>
      <w:marBottom w:val="0"/>
      <w:divBdr>
        <w:top w:val="none" w:sz="0" w:space="0" w:color="auto"/>
        <w:left w:val="none" w:sz="0" w:space="0" w:color="auto"/>
        <w:bottom w:val="none" w:sz="0" w:space="0" w:color="auto"/>
        <w:right w:val="none" w:sz="0" w:space="0" w:color="auto"/>
      </w:divBdr>
    </w:div>
    <w:div w:id="1182889400">
      <w:bodyDiv w:val="1"/>
      <w:marLeft w:val="0"/>
      <w:marRight w:val="0"/>
      <w:marTop w:val="0"/>
      <w:marBottom w:val="0"/>
      <w:divBdr>
        <w:top w:val="none" w:sz="0" w:space="0" w:color="auto"/>
        <w:left w:val="none" w:sz="0" w:space="0" w:color="auto"/>
        <w:bottom w:val="none" w:sz="0" w:space="0" w:color="auto"/>
        <w:right w:val="none" w:sz="0" w:space="0" w:color="auto"/>
      </w:divBdr>
    </w:div>
    <w:div w:id="1188909078">
      <w:bodyDiv w:val="1"/>
      <w:marLeft w:val="0"/>
      <w:marRight w:val="0"/>
      <w:marTop w:val="0"/>
      <w:marBottom w:val="0"/>
      <w:divBdr>
        <w:top w:val="none" w:sz="0" w:space="0" w:color="auto"/>
        <w:left w:val="none" w:sz="0" w:space="0" w:color="auto"/>
        <w:bottom w:val="none" w:sz="0" w:space="0" w:color="auto"/>
        <w:right w:val="none" w:sz="0" w:space="0" w:color="auto"/>
      </w:divBdr>
    </w:div>
    <w:div w:id="1196038844">
      <w:bodyDiv w:val="1"/>
      <w:marLeft w:val="0"/>
      <w:marRight w:val="0"/>
      <w:marTop w:val="0"/>
      <w:marBottom w:val="0"/>
      <w:divBdr>
        <w:top w:val="none" w:sz="0" w:space="0" w:color="auto"/>
        <w:left w:val="none" w:sz="0" w:space="0" w:color="auto"/>
        <w:bottom w:val="none" w:sz="0" w:space="0" w:color="auto"/>
        <w:right w:val="none" w:sz="0" w:space="0" w:color="auto"/>
      </w:divBdr>
    </w:div>
    <w:div w:id="1197693343">
      <w:bodyDiv w:val="1"/>
      <w:marLeft w:val="0"/>
      <w:marRight w:val="0"/>
      <w:marTop w:val="0"/>
      <w:marBottom w:val="0"/>
      <w:divBdr>
        <w:top w:val="none" w:sz="0" w:space="0" w:color="auto"/>
        <w:left w:val="none" w:sz="0" w:space="0" w:color="auto"/>
        <w:bottom w:val="none" w:sz="0" w:space="0" w:color="auto"/>
        <w:right w:val="none" w:sz="0" w:space="0" w:color="auto"/>
      </w:divBdr>
    </w:div>
    <w:div w:id="1200507997">
      <w:bodyDiv w:val="1"/>
      <w:marLeft w:val="0"/>
      <w:marRight w:val="0"/>
      <w:marTop w:val="0"/>
      <w:marBottom w:val="0"/>
      <w:divBdr>
        <w:top w:val="none" w:sz="0" w:space="0" w:color="auto"/>
        <w:left w:val="none" w:sz="0" w:space="0" w:color="auto"/>
        <w:bottom w:val="none" w:sz="0" w:space="0" w:color="auto"/>
        <w:right w:val="none" w:sz="0" w:space="0" w:color="auto"/>
      </w:divBdr>
    </w:div>
    <w:div w:id="1204755604">
      <w:bodyDiv w:val="1"/>
      <w:marLeft w:val="0"/>
      <w:marRight w:val="0"/>
      <w:marTop w:val="0"/>
      <w:marBottom w:val="0"/>
      <w:divBdr>
        <w:top w:val="none" w:sz="0" w:space="0" w:color="auto"/>
        <w:left w:val="none" w:sz="0" w:space="0" w:color="auto"/>
        <w:bottom w:val="none" w:sz="0" w:space="0" w:color="auto"/>
        <w:right w:val="none" w:sz="0" w:space="0" w:color="auto"/>
      </w:divBdr>
    </w:div>
    <w:div w:id="1209801001">
      <w:bodyDiv w:val="1"/>
      <w:marLeft w:val="0"/>
      <w:marRight w:val="0"/>
      <w:marTop w:val="0"/>
      <w:marBottom w:val="0"/>
      <w:divBdr>
        <w:top w:val="none" w:sz="0" w:space="0" w:color="auto"/>
        <w:left w:val="none" w:sz="0" w:space="0" w:color="auto"/>
        <w:bottom w:val="none" w:sz="0" w:space="0" w:color="auto"/>
        <w:right w:val="none" w:sz="0" w:space="0" w:color="auto"/>
      </w:divBdr>
    </w:div>
    <w:div w:id="1210260655">
      <w:bodyDiv w:val="1"/>
      <w:marLeft w:val="0"/>
      <w:marRight w:val="0"/>
      <w:marTop w:val="0"/>
      <w:marBottom w:val="0"/>
      <w:divBdr>
        <w:top w:val="none" w:sz="0" w:space="0" w:color="auto"/>
        <w:left w:val="none" w:sz="0" w:space="0" w:color="auto"/>
        <w:bottom w:val="none" w:sz="0" w:space="0" w:color="auto"/>
        <w:right w:val="none" w:sz="0" w:space="0" w:color="auto"/>
      </w:divBdr>
    </w:div>
    <w:div w:id="1215384552">
      <w:bodyDiv w:val="1"/>
      <w:marLeft w:val="0"/>
      <w:marRight w:val="0"/>
      <w:marTop w:val="0"/>
      <w:marBottom w:val="0"/>
      <w:divBdr>
        <w:top w:val="none" w:sz="0" w:space="0" w:color="auto"/>
        <w:left w:val="none" w:sz="0" w:space="0" w:color="auto"/>
        <w:bottom w:val="none" w:sz="0" w:space="0" w:color="auto"/>
        <w:right w:val="none" w:sz="0" w:space="0" w:color="auto"/>
      </w:divBdr>
    </w:div>
    <w:div w:id="1216047688">
      <w:bodyDiv w:val="1"/>
      <w:marLeft w:val="0"/>
      <w:marRight w:val="0"/>
      <w:marTop w:val="0"/>
      <w:marBottom w:val="0"/>
      <w:divBdr>
        <w:top w:val="none" w:sz="0" w:space="0" w:color="auto"/>
        <w:left w:val="none" w:sz="0" w:space="0" w:color="auto"/>
        <w:bottom w:val="none" w:sz="0" w:space="0" w:color="auto"/>
        <w:right w:val="none" w:sz="0" w:space="0" w:color="auto"/>
      </w:divBdr>
    </w:div>
    <w:div w:id="1222210680">
      <w:bodyDiv w:val="1"/>
      <w:marLeft w:val="0"/>
      <w:marRight w:val="0"/>
      <w:marTop w:val="0"/>
      <w:marBottom w:val="0"/>
      <w:divBdr>
        <w:top w:val="none" w:sz="0" w:space="0" w:color="auto"/>
        <w:left w:val="none" w:sz="0" w:space="0" w:color="auto"/>
        <w:bottom w:val="none" w:sz="0" w:space="0" w:color="auto"/>
        <w:right w:val="none" w:sz="0" w:space="0" w:color="auto"/>
      </w:divBdr>
    </w:div>
    <w:div w:id="1222794426">
      <w:bodyDiv w:val="1"/>
      <w:marLeft w:val="0"/>
      <w:marRight w:val="0"/>
      <w:marTop w:val="0"/>
      <w:marBottom w:val="0"/>
      <w:divBdr>
        <w:top w:val="none" w:sz="0" w:space="0" w:color="auto"/>
        <w:left w:val="none" w:sz="0" w:space="0" w:color="auto"/>
        <w:bottom w:val="none" w:sz="0" w:space="0" w:color="auto"/>
        <w:right w:val="none" w:sz="0" w:space="0" w:color="auto"/>
      </w:divBdr>
    </w:div>
    <w:div w:id="1226529516">
      <w:bodyDiv w:val="1"/>
      <w:marLeft w:val="0"/>
      <w:marRight w:val="0"/>
      <w:marTop w:val="0"/>
      <w:marBottom w:val="0"/>
      <w:divBdr>
        <w:top w:val="none" w:sz="0" w:space="0" w:color="auto"/>
        <w:left w:val="none" w:sz="0" w:space="0" w:color="auto"/>
        <w:bottom w:val="none" w:sz="0" w:space="0" w:color="auto"/>
        <w:right w:val="none" w:sz="0" w:space="0" w:color="auto"/>
      </w:divBdr>
    </w:div>
    <w:div w:id="1237279443">
      <w:bodyDiv w:val="1"/>
      <w:marLeft w:val="0"/>
      <w:marRight w:val="0"/>
      <w:marTop w:val="0"/>
      <w:marBottom w:val="0"/>
      <w:divBdr>
        <w:top w:val="none" w:sz="0" w:space="0" w:color="auto"/>
        <w:left w:val="none" w:sz="0" w:space="0" w:color="auto"/>
        <w:bottom w:val="none" w:sz="0" w:space="0" w:color="auto"/>
        <w:right w:val="none" w:sz="0" w:space="0" w:color="auto"/>
      </w:divBdr>
    </w:div>
    <w:div w:id="1242981809">
      <w:bodyDiv w:val="1"/>
      <w:marLeft w:val="0"/>
      <w:marRight w:val="0"/>
      <w:marTop w:val="0"/>
      <w:marBottom w:val="0"/>
      <w:divBdr>
        <w:top w:val="none" w:sz="0" w:space="0" w:color="auto"/>
        <w:left w:val="none" w:sz="0" w:space="0" w:color="auto"/>
        <w:bottom w:val="none" w:sz="0" w:space="0" w:color="auto"/>
        <w:right w:val="none" w:sz="0" w:space="0" w:color="auto"/>
      </w:divBdr>
    </w:div>
    <w:div w:id="1244026236">
      <w:bodyDiv w:val="1"/>
      <w:marLeft w:val="0"/>
      <w:marRight w:val="0"/>
      <w:marTop w:val="0"/>
      <w:marBottom w:val="0"/>
      <w:divBdr>
        <w:top w:val="none" w:sz="0" w:space="0" w:color="auto"/>
        <w:left w:val="none" w:sz="0" w:space="0" w:color="auto"/>
        <w:bottom w:val="none" w:sz="0" w:space="0" w:color="auto"/>
        <w:right w:val="none" w:sz="0" w:space="0" w:color="auto"/>
      </w:divBdr>
    </w:div>
    <w:div w:id="1246301427">
      <w:bodyDiv w:val="1"/>
      <w:marLeft w:val="0"/>
      <w:marRight w:val="0"/>
      <w:marTop w:val="0"/>
      <w:marBottom w:val="0"/>
      <w:divBdr>
        <w:top w:val="none" w:sz="0" w:space="0" w:color="auto"/>
        <w:left w:val="none" w:sz="0" w:space="0" w:color="auto"/>
        <w:bottom w:val="none" w:sz="0" w:space="0" w:color="auto"/>
        <w:right w:val="none" w:sz="0" w:space="0" w:color="auto"/>
      </w:divBdr>
    </w:div>
    <w:div w:id="1247610060">
      <w:bodyDiv w:val="1"/>
      <w:marLeft w:val="0"/>
      <w:marRight w:val="0"/>
      <w:marTop w:val="0"/>
      <w:marBottom w:val="0"/>
      <w:divBdr>
        <w:top w:val="none" w:sz="0" w:space="0" w:color="auto"/>
        <w:left w:val="none" w:sz="0" w:space="0" w:color="auto"/>
        <w:bottom w:val="none" w:sz="0" w:space="0" w:color="auto"/>
        <w:right w:val="none" w:sz="0" w:space="0" w:color="auto"/>
      </w:divBdr>
    </w:div>
    <w:div w:id="1263490566">
      <w:bodyDiv w:val="1"/>
      <w:marLeft w:val="0"/>
      <w:marRight w:val="0"/>
      <w:marTop w:val="0"/>
      <w:marBottom w:val="0"/>
      <w:divBdr>
        <w:top w:val="none" w:sz="0" w:space="0" w:color="auto"/>
        <w:left w:val="none" w:sz="0" w:space="0" w:color="auto"/>
        <w:bottom w:val="none" w:sz="0" w:space="0" w:color="auto"/>
        <w:right w:val="none" w:sz="0" w:space="0" w:color="auto"/>
      </w:divBdr>
    </w:div>
    <w:div w:id="1266615224">
      <w:bodyDiv w:val="1"/>
      <w:marLeft w:val="0"/>
      <w:marRight w:val="0"/>
      <w:marTop w:val="0"/>
      <w:marBottom w:val="0"/>
      <w:divBdr>
        <w:top w:val="none" w:sz="0" w:space="0" w:color="auto"/>
        <w:left w:val="none" w:sz="0" w:space="0" w:color="auto"/>
        <w:bottom w:val="none" w:sz="0" w:space="0" w:color="auto"/>
        <w:right w:val="none" w:sz="0" w:space="0" w:color="auto"/>
      </w:divBdr>
    </w:div>
    <w:div w:id="1269847602">
      <w:bodyDiv w:val="1"/>
      <w:marLeft w:val="0"/>
      <w:marRight w:val="0"/>
      <w:marTop w:val="0"/>
      <w:marBottom w:val="0"/>
      <w:divBdr>
        <w:top w:val="none" w:sz="0" w:space="0" w:color="auto"/>
        <w:left w:val="none" w:sz="0" w:space="0" w:color="auto"/>
        <w:bottom w:val="none" w:sz="0" w:space="0" w:color="auto"/>
        <w:right w:val="none" w:sz="0" w:space="0" w:color="auto"/>
      </w:divBdr>
    </w:div>
    <w:div w:id="1277560248">
      <w:bodyDiv w:val="1"/>
      <w:marLeft w:val="0"/>
      <w:marRight w:val="0"/>
      <w:marTop w:val="0"/>
      <w:marBottom w:val="0"/>
      <w:divBdr>
        <w:top w:val="none" w:sz="0" w:space="0" w:color="auto"/>
        <w:left w:val="none" w:sz="0" w:space="0" w:color="auto"/>
        <w:bottom w:val="none" w:sz="0" w:space="0" w:color="auto"/>
        <w:right w:val="none" w:sz="0" w:space="0" w:color="auto"/>
      </w:divBdr>
    </w:div>
    <w:div w:id="1281303657">
      <w:bodyDiv w:val="1"/>
      <w:marLeft w:val="0"/>
      <w:marRight w:val="0"/>
      <w:marTop w:val="0"/>
      <w:marBottom w:val="0"/>
      <w:divBdr>
        <w:top w:val="none" w:sz="0" w:space="0" w:color="auto"/>
        <w:left w:val="none" w:sz="0" w:space="0" w:color="auto"/>
        <w:bottom w:val="none" w:sz="0" w:space="0" w:color="auto"/>
        <w:right w:val="none" w:sz="0" w:space="0" w:color="auto"/>
      </w:divBdr>
    </w:div>
    <w:div w:id="1283994434">
      <w:bodyDiv w:val="1"/>
      <w:marLeft w:val="0"/>
      <w:marRight w:val="0"/>
      <w:marTop w:val="0"/>
      <w:marBottom w:val="0"/>
      <w:divBdr>
        <w:top w:val="none" w:sz="0" w:space="0" w:color="auto"/>
        <w:left w:val="none" w:sz="0" w:space="0" w:color="auto"/>
        <w:bottom w:val="none" w:sz="0" w:space="0" w:color="auto"/>
        <w:right w:val="none" w:sz="0" w:space="0" w:color="auto"/>
      </w:divBdr>
    </w:div>
    <w:div w:id="1285424543">
      <w:bodyDiv w:val="1"/>
      <w:marLeft w:val="0"/>
      <w:marRight w:val="0"/>
      <w:marTop w:val="0"/>
      <w:marBottom w:val="0"/>
      <w:divBdr>
        <w:top w:val="none" w:sz="0" w:space="0" w:color="auto"/>
        <w:left w:val="none" w:sz="0" w:space="0" w:color="auto"/>
        <w:bottom w:val="none" w:sz="0" w:space="0" w:color="auto"/>
        <w:right w:val="none" w:sz="0" w:space="0" w:color="auto"/>
      </w:divBdr>
    </w:div>
    <w:div w:id="1287850314">
      <w:bodyDiv w:val="1"/>
      <w:marLeft w:val="0"/>
      <w:marRight w:val="0"/>
      <w:marTop w:val="0"/>
      <w:marBottom w:val="0"/>
      <w:divBdr>
        <w:top w:val="none" w:sz="0" w:space="0" w:color="auto"/>
        <w:left w:val="none" w:sz="0" w:space="0" w:color="auto"/>
        <w:bottom w:val="none" w:sz="0" w:space="0" w:color="auto"/>
        <w:right w:val="none" w:sz="0" w:space="0" w:color="auto"/>
      </w:divBdr>
    </w:div>
    <w:div w:id="1293367632">
      <w:bodyDiv w:val="1"/>
      <w:marLeft w:val="0"/>
      <w:marRight w:val="0"/>
      <w:marTop w:val="0"/>
      <w:marBottom w:val="0"/>
      <w:divBdr>
        <w:top w:val="none" w:sz="0" w:space="0" w:color="auto"/>
        <w:left w:val="none" w:sz="0" w:space="0" w:color="auto"/>
        <w:bottom w:val="none" w:sz="0" w:space="0" w:color="auto"/>
        <w:right w:val="none" w:sz="0" w:space="0" w:color="auto"/>
      </w:divBdr>
    </w:div>
    <w:div w:id="1298758196">
      <w:bodyDiv w:val="1"/>
      <w:marLeft w:val="0"/>
      <w:marRight w:val="0"/>
      <w:marTop w:val="0"/>
      <w:marBottom w:val="0"/>
      <w:divBdr>
        <w:top w:val="none" w:sz="0" w:space="0" w:color="auto"/>
        <w:left w:val="none" w:sz="0" w:space="0" w:color="auto"/>
        <w:bottom w:val="none" w:sz="0" w:space="0" w:color="auto"/>
        <w:right w:val="none" w:sz="0" w:space="0" w:color="auto"/>
      </w:divBdr>
    </w:div>
    <w:div w:id="1300572372">
      <w:bodyDiv w:val="1"/>
      <w:marLeft w:val="0"/>
      <w:marRight w:val="0"/>
      <w:marTop w:val="0"/>
      <w:marBottom w:val="0"/>
      <w:divBdr>
        <w:top w:val="none" w:sz="0" w:space="0" w:color="auto"/>
        <w:left w:val="none" w:sz="0" w:space="0" w:color="auto"/>
        <w:bottom w:val="none" w:sz="0" w:space="0" w:color="auto"/>
        <w:right w:val="none" w:sz="0" w:space="0" w:color="auto"/>
      </w:divBdr>
    </w:div>
    <w:div w:id="1302417232">
      <w:bodyDiv w:val="1"/>
      <w:marLeft w:val="0"/>
      <w:marRight w:val="0"/>
      <w:marTop w:val="0"/>
      <w:marBottom w:val="0"/>
      <w:divBdr>
        <w:top w:val="none" w:sz="0" w:space="0" w:color="auto"/>
        <w:left w:val="none" w:sz="0" w:space="0" w:color="auto"/>
        <w:bottom w:val="none" w:sz="0" w:space="0" w:color="auto"/>
        <w:right w:val="none" w:sz="0" w:space="0" w:color="auto"/>
      </w:divBdr>
    </w:div>
    <w:div w:id="1303846216">
      <w:bodyDiv w:val="1"/>
      <w:marLeft w:val="0"/>
      <w:marRight w:val="0"/>
      <w:marTop w:val="0"/>
      <w:marBottom w:val="0"/>
      <w:divBdr>
        <w:top w:val="none" w:sz="0" w:space="0" w:color="auto"/>
        <w:left w:val="none" w:sz="0" w:space="0" w:color="auto"/>
        <w:bottom w:val="none" w:sz="0" w:space="0" w:color="auto"/>
        <w:right w:val="none" w:sz="0" w:space="0" w:color="auto"/>
      </w:divBdr>
    </w:div>
    <w:div w:id="1304389715">
      <w:bodyDiv w:val="1"/>
      <w:marLeft w:val="0"/>
      <w:marRight w:val="0"/>
      <w:marTop w:val="0"/>
      <w:marBottom w:val="0"/>
      <w:divBdr>
        <w:top w:val="none" w:sz="0" w:space="0" w:color="auto"/>
        <w:left w:val="none" w:sz="0" w:space="0" w:color="auto"/>
        <w:bottom w:val="none" w:sz="0" w:space="0" w:color="auto"/>
        <w:right w:val="none" w:sz="0" w:space="0" w:color="auto"/>
      </w:divBdr>
    </w:div>
    <w:div w:id="1314019780">
      <w:bodyDiv w:val="1"/>
      <w:marLeft w:val="0"/>
      <w:marRight w:val="0"/>
      <w:marTop w:val="0"/>
      <w:marBottom w:val="0"/>
      <w:divBdr>
        <w:top w:val="none" w:sz="0" w:space="0" w:color="auto"/>
        <w:left w:val="none" w:sz="0" w:space="0" w:color="auto"/>
        <w:bottom w:val="none" w:sz="0" w:space="0" w:color="auto"/>
        <w:right w:val="none" w:sz="0" w:space="0" w:color="auto"/>
      </w:divBdr>
    </w:div>
    <w:div w:id="1314259487">
      <w:bodyDiv w:val="1"/>
      <w:marLeft w:val="0"/>
      <w:marRight w:val="0"/>
      <w:marTop w:val="0"/>
      <w:marBottom w:val="0"/>
      <w:divBdr>
        <w:top w:val="none" w:sz="0" w:space="0" w:color="auto"/>
        <w:left w:val="none" w:sz="0" w:space="0" w:color="auto"/>
        <w:bottom w:val="none" w:sz="0" w:space="0" w:color="auto"/>
        <w:right w:val="none" w:sz="0" w:space="0" w:color="auto"/>
      </w:divBdr>
    </w:div>
    <w:div w:id="1316371031">
      <w:bodyDiv w:val="1"/>
      <w:marLeft w:val="0"/>
      <w:marRight w:val="0"/>
      <w:marTop w:val="0"/>
      <w:marBottom w:val="0"/>
      <w:divBdr>
        <w:top w:val="none" w:sz="0" w:space="0" w:color="auto"/>
        <w:left w:val="none" w:sz="0" w:space="0" w:color="auto"/>
        <w:bottom w:val="none" w:sz="0" w:space="0" w:color="auto"/>
        <w:right w:val="none" w:sz="0" w:space="0" w:color="auto"/>
      </w:divBdr>
    </w:div>
    <w:div w:id="1320160445">
      <w:bodyDiv w:val="1"/>
      <w:marLeft w:val="0"/>
      <w:marRight w:val="0"/>
      <w:marTop w:val="0"/>
      <w:marBottom w:val="0"/>
      <w:divBdr>
        <w:top w:val="none" w:sz="0" w:space="0" w:color="auto"/>
        <w:left w:val="none" w:sz="0" w:space="0" w:color="auto"/>
        <w:bottom w:val="none" w:sz="0" w:space="0" w:color="auto"/>
        <w:right w:val="none" w:sz="0" w:space="0" w:color="auto"/>
      </w:divBdr>
    </w:div>
    <w:div w:id="1327787757">
      <w:bodyDiv w:val="1"/>
      <w:marLeft w:val="0"/>
      <w:marRight w:val="0"/>
      <w:marTop w:val="0"/>
      <w:marBottom w:val="0"/>
      <w:divBdr>
        <w:top w:val="none" w:sz="0" w:space="0" w:color="auto"/>
        <w:left w:val="none" w:sz="0" w:space="0" w:color="auto"/>
        <w:bottom w:val="none" w:sz="0" w:space="0" w:color="auto"/>
        <w:right w:val="none" w:sz="0" w:space="0" w:color="auto"/>
      </w:divBdr>
    </w:div>
    <w:div w:id="1328942277">
      <w:bodyDiv w:val="1"/>
      <w:marLeft w:val="0"/>
      <w:marRight w:val="0"/>
      <w:marTop w:val="0"/>
      <w:marBottom w:val="0"/>
      <w:divBdr>
        <w:top w:val="none" w:sz="0" w:space="0" w:color="auto"/>
        <w:left w:val="none" w:sz="0" w:space="0" w:color="auto"/>
        <w:bottom w:val="none" w:sz="0" w:space="0" w:color="auto"/>
        <w:right w:val="none" w:sz="0" w:space="0" w:color="auto"/>
      </w:divBdr>
    </w:div>
    <w:div w:id="1329018160">
      <w:bodyDiv w:val="1"/>
      <w:marLeft w:val="0"/>
      <w:marRight w:val="0"/>
      <w:marTop w:val="0"/>
      <w:marBottom w:val="0"/>
      <w:divBdr>
        <w:top w:val="none" w:sz="0" w:space="0" w:color="auto"/>
        <w:left w:val="none" w:sz="0" w:space="0" w:color="auto"/>
        <w:bottom w:val="none" w:sz="0" w:space="0" w:color="auto"/>
        <w:right w:val="none" w:sz="0" w:space="0" w:color="auto"/>
      </w:divBdr>
    </w:div>
    <w:div w:id="1336806618">
      <w:bodyDiv w:val="1"/>
      <w:marLeft w:val="0"/>
      <w:marRight w:val="0"/>
      <w:marTop w:val="0"/>
      <w:marBottom w:val="0"/>
      <w:divBdr>
        <w:top w:val="none" w:sz="0" w:space="0" w:color="auto"/>
        <w:left w:val="none" w:sz="0" w:space="0" w:color="auto"/>
        <w:bottom w:val="none" w:sz="0" w:space="0" w:color="auto"/>
        <w:right w:val="none" w:sz="0" w:space="0" w:color="auto"/>
      </w:divBdr>
    </w:div>
    <w:div w:id="1338381084">
      <w:bodyDiv w:val="1"/>
      <w:marLeft w:val="0"/>
      <w:marRight w:val="0"/>
      <w:marTop w:val="0"/>
      <w:marBottom w:val="0"/>
      <w:divBdr>
        <w:top w:val="none" w:sz="0" w:space="0" w:color="auto"/>
        <w:left w:val="none" w:sz="0" w:space="0" w:color="auto"/>
        <w:bottom w:val="none" w:sz="0" w:space="0" w:color="auto"/>
        <w:right w:val="none" w:sz="0" w:space="0" w:color="auto"/>
      </w:divBdr>
    </w:div>
    <w:div w:id="1340162095">
      <w:bodyDiv w:val="1"/>
      <w:marLeft w:val="0"/>
      <w:marRight w:val="0"/>
      <w:marTop w:val="0"/>
      <w:marBottom w:val="0"/>
      <w:divBdr>
        <w:top w:val="none" w:sz="0" w:space="0" w:color="auto"/>
        <w:left w:val="none" w:sz="0" w:space="0" w:color="auto"/>
        <w:bottom w:val="none" w:sz="0" w:space="0" w:color="auto"/>
        <w:right w:val="none" w:sz="0" w:space="0" w:color="auto"/>
      </w:divBdr>
    </w:div>
    <w:div w:id="1344362291">
      <w:bodyDiv w:val="1"/>
      <w:marLeft w:val="0"/>
      <w:marRight w:val="0"/>
      <w:marTop w:val="0"/>
      <w:marBottom w:val="0"/>
      <w:divBdr>
        <w:top w:val="none" w:sz="0" w:space="0" w:color="auto"/>
        <w:left w:val="none" w:sz="0" w:space="0" w:color="auto"/>
        <w:bottom w:val="none" w:sz="0" w:space="0" w:color="auto"/>
        <w:right w:val="none" w:sz="0" w:space="0" w:color="auto"/>
      </w:divBdr>
    </w:div>
    <w:div w:id="1346247556">
      <w:bodyDiv w:val="1"/>
      <w:marLeft w:val="0"/>
      <w:marRight w:val="0"/>
      <w:marTop w:val="0"/>
      <w:marBottom w:val="0"/>
      <w:divBdr>
        <w:top w:val="none" w:sz="0" w:space="0" w:color="auto"/>
        <w:left w:val="none" w:sz="0" w:space="0" w:color="auto"/>
        <w:bottom w:val="none" w:sz="0" w:space="0" w:color="auto"/>
        <w:right w:val="none" w:sz="0" w:space="0" w:color="auto"/>
      </w:divBdr>
    </w:div>
    <w:div w:id="1351027011">
      <w:bodyDiv w:val="1"/>
      <w:marLeft w:val="0"/>
      <w:marRight w:val="0"/>
      <w:marTop w:val="0"/>
      <w:marBottom w:val="0"/>
      <w:divBdr>
        <w:top w:val="none" w:sz="0" w:space="0" w:color="auto"/>
        <w:left w:val="none" w:sz="0" w:space="0" w:color="auto"/>
        <w:bottom w:val="none" w:sz="0" w:space="0" w:color="auto"/>
        <w:right w:val="none" w:sz="0" w:space="0" w:color="auto"/>
      </w:divBdr>
    </w:div>
    <w:div w:id="1351177021">
      <w:bodyDiv w:val="1"/>
      <w:marLeft w:val="0"/>
      <w:marRight w:val="0"/>
      <w:marTop w:val="0"/>
      <w:marBottom w:val="0"/>
      <w:divBdr>
        <w:top w:val="none" w:sz="0" w:space="0" w:color="auto"/>
        <w:left w:val="none" w:sz="0" w:space="0" w:color="auto"/>
        <w:bottom w:val="none" w:sz="0" w:space="0" w:color="auto"/>
        <w:right w:val="none" w:sz="0" w:space="0" w:color="auto"/>
      </w:divBdr>
    </w:div>
    <w:div w:id="1353071118">
      <w:bodyDiv w:val="1"/>
      <w:marLeft w:val="0"/>
      <w:marRight w:val="0"/>
      <w:marTop w:val="0"/>
      <w:marBottom w:val="0"/>
      <w:divBdr>
        <w:top w:val="none" w:sz="0" w:space="0" w:color="auto"/>
        <w:left w:val="none" w:sz="0" w:space="0" w:color="auto"/>
        <w:bottom w:val="none" w:sz="0" w:space="0" w:color="auto"/>
        <w:right w:val="none" w:sz="0" w:space="0" w:color="auto"/>
      </w:divBdr>
    </w:div>
    <w:div w:id="1361279603">
      <w:bodyDiv w:val="1"/>
      <w:marLeft w:val="0"/>
      <w:marRight w:val="0"/>
      <w:marTop w:val="0"/>
      <w:marBottom w:val="0"/>
      <w:divBdr>
        <w:top w:val="none" w:sz="0" w:space="0" w:color="auto"/>
        <w:left w:val="none" w:sz="0" w:space="0" w:color="auto"/>
        <w:bottom w:val="none" w:sz="0" w:space="0" w:color="auto"/>
        <w:right w:val="none" w:sz="0" w:space="0" w:color="auto"/>
      </w:divBdr>
    </w:div>
    <w:div w:id="1365208851">
      <w:bodyDiv w:val="1"/>
      <w:marLeft w:val="0"/>
      <w:marRight w:val="0"/>
      <w:marTop w:val="0"/>
      <w:marBottom w:val="0"/>
      <w:divBdr>
        <w:top w:val="none" w:sz="0" w:space="0" w:color="auto"/>
        <w:left w:val="none" w:sz="0" w:space="0" w:color="auto"/>
        <w:bottom w:val="none" w:sz="0" w:space="0" w:color="auto"/>
        <w:right w:val="none" w:sz="0" w:space="0" w:color="auto"/>
      </w:divBdr>
    </w:div>
    <w:div w:id="1369841618">
      <w:bodyDiv w:val="1"/>
      <w:marLeft w:val="0"/>
      <w:marRight w:val="0"/>
      <w:marTop w:val="0"/>
      <w:marBottom w:val="0"/>
      <w:divBdr>
        <w:top w:val="none" w:sz="0" w:space="0" w:color="auto"/>
        <w:left w:val="none" w:sz="0" w:space="0" w:color="auto"/>
        <w:bottom w:val="none" w:sz="0" w:space="0" w:color="auto"/>
        <w:right w:val="none" w:sz="0" w:space="0" w:color="auto"/>
      </w:divBdr>
    </w:div>
    <w:div w:id="1371803542">
      <w:bodyDiv w:val="1"/>
      <w:marLeft w:val="0"/>
      <w:marRight w:val="0"/>
      <w:marTop w:val="0"/>
      <w:marBottom w:val="0"/>
      <w:divBdr>
        <w:top w:val="none" w:sz="0" w:space="0" w:color="auto"/>
        <w:left w:val="none" w:sz="0" w:space="0" w:color="auto"/>
        <w:bottom w:val="none" w:sz="0" w:space="0" w:color="auto"/>
        <w:right w:val="none" w:sz="0" w:space="0" w:color="auto"/>
      </w:divBdr>
    </w:div>
    <w:div w:id="1372144235">
      <w:bodyDiv w:val="1"/>
      <w:marLeft w:val="0"/>
      <w:marRight w:val="0"/>
      <w:marTop w:val="0"/>
      <w:marBottom w:val="0"/>
      <w:divBdr>
        <w:top w:val="none" w:sz="0" w:space="0" w:color="auto"/>
        <w:left w:val="none" w:sz="0" w:space="0" w:color="auto"/>
        <w:bottom w:val="none" w:sz="0" w:space="0" w:color="auto"/>
        <w:right w:val="none" w:sz="0" w:space="0" w:color="auto"/>
      </w:divBdr>
    </w:div>
    <w:div w:id="1372341612">
      <w:bodyDiv w:val="1"/>
      <w:marLeft w:val="0"/>
      <w:marRight w:val="0"/>
      <w:marTop w:val="0"/>
      <w:marBottom w:val="0"/>
      <w:divBdr>
        <w:top w:val="none" w:sz="0" w:space="0" w:color="auto"/>
        <w:left w:val="none" w:sz="0" w:space="0" w:color="auto"/>
        <w:bottom w:val="none" w:sz="0" w:space="0" w:color="auto"/>
        <w:right w:val="none" w:sz="0" w:space="0" w:color="auto"/>
      </w:divBdr>
    </w:div>
    <w:div w:id="1382947897">
      <w:bodyDiv w:val="1"/>
      <w:marLeft w:val="0"/>
      <w:marRight w:val="0"/>
      <w:marTop w:val="0"/>
      <w:marBottom w:val="0"/>
      <w:divBdr>
        <w:top w:val="none" w:sz="0" w:space="0" w:color="auto"/>
        <w:left w:val="none" w:sz="0" w:space="0" w:color="auto"/>
        <w:bottom w:val="none" w:sz="0" w:space="0" w:color="auto"/>
        <w:right w:val="none" w:sz="0" w:space="0" w:color="auto"/>
      </w:divBdr>
    </w:div>
    <w:div w:id="1384132373">
      <w:bodyDiv w:val="1"/>
      <w:marLeft w:val="0"/>
      <w:marRight w:val="0"/>
      <w:marTop w:val="0"/>
      <w:marBottom w:val="0"/>
      <w:divBdr>
        <w:top w:val="none" w:sz="0" w:space="0" w:color="auto"/>
        <w:left w:val="none" w:sz="0" w:space="0" w:color="auto"/>
        <w:bottom w:val="none" w:sz="0" w:space="0" w:color="auto"/>
        <w:right w:val="none" w:sz="0" w:space="0" w:color="auto"/>
      </w:divBdr>
    </w:div>
    <w:div w:id="1398282065">
      <w:bodyDiv w:val="1"/>
      <w:marLeft w:val="0"/>
      <w:marRight w:val="0"/>
      <w:marTop w:val="0"/>
      <w:marBottom w:val="0"/>
      <w:divBdr>
        <w:top w:val="none" w:sz="0" w:space="0" w:color="auto"/>
        <w:left w:val="none" w:sz="0" w:space="0" w:color="auto"/>
        <w:bottom w:val="none" w:sz="0" w:space="0" w:color="auto"/>
        <w:right w:val="none" w:sz="0" w:space="0" w:color="auto"/>
      </w:divBdr>
    </w:div>
    <w:div w:id="1402294421">
      <w:bodyDiv w:val="1"/>
      <w:marLeft w:val="0"/>
      <w:marRight w:val="0"/>
      <w:marTop w:val="0"/>
      <w:marBottom w:val="0"/>
      <w:divBdr>
        <w:top w:val="none" w:sz="0" w:space="0" w:color="auto"/>
        <w:left w:val="none" w:sz="0" w:space="0" w:color="auto"/>
        <w:bottom w:val="none" w:sz="0" w:space="0" w:color="auto"/>
        <w:right w:val="none" w:sz="0" w:space="0" w:color="auto"/>
      </w:divBdr>
    </w:div>
    <w:div w:id="1405451006">
      <w:bodyDiv w:val="1"/>
      <w:marLeft w:val="0"/>
      <w:marRight w:val="0"/>
      <w:marTop w:val="0"/>
      <w:marBottom w:val="0"/>
      <w:divBdr>
        <w:top w:val="none" w:sz="0" w:space="0" w:color="auto"/>
        <w:left w:val="none" w:sz="0" w:space="0" w:color="auto"/>
        <w:bottom w:val="none" w:sz="0" w:space="0" w:color="auto"/>
        <w:right w:val="none" w:sz="0" w:space="0" w:color="auto"/>
      </w:divBdr>
    </w:div>
    <w:div w:id="1406107291">
      <w:bodyDiv w:val="1"/>
      <w:marLeft w:val="0"/>
      <w:marRight w:val="0"/>
      <w:marTop w:val="0"/>
      <w:marBottom w:val="0"/>
      <w:divBdr>
        <w:top w:val="none" w:sz="0" w:space="0" w:color="auto"/>
        <w:left w:val="none" w:sz="0" w:space="0" w:color="auto"/>
        <w:bottom w:val="none" w:sz="0" w:space="0" w:color="auto"/>
        <w:right w:val="none" w:sz="0" w:space="0" w:color="auto"/>
      </w:divBdr>
    </w:div>
    <w:div w:id="1407805735">
      <w:bodyDiv w:val="1"/>
      <w:marLeft w:val="0"/>
      <w:marRight w:val="0"/>
      <w:marTop w:val="0"/>
      <w:marBottom w:val="0"/>
      <w:divBdr>
        <w:top w:val="none" w:sz="0" w:space="0" w:color="auto"/>
        <w:left w:val="none" w:sz="0" w:space="0" w:color="auto"/>
        <w:bottom w:val="none" w:sz="0" w:space="0" w:color="auto"/>
        <w:right w:val="none" w:sz="0" w:space="0" w:color="auto"/>
      </w:divBdr>
    </w:div>
    <w:div w:id="1409956794">
      <w:bodyDiv w:val="1"/>
      <w:marLeft w:val="0"/>
      <w:marRight w:val="0"/>
      <w:marTop w:val="0"/>
      <w:marBottom w:val="0"/>
      <w:divBdr>
        <w:top w:val="none" w:sz="0" w:space="0" w:color="auto"/>
        <w:left w:val="none" w:sz="0" w:space="0" w:color="auto"/>
        <w:bottom w:val="none" w:sz="0" w:space="0" w:color="auto"/>
        <w:right w:val="none" w:sz="0" w:space="0" w:color="auto"/>
      </w:divBdr>
    </w:div>
    <w:div w:id="1415082652">
      <w:bodyDiv w:val="1"/>
      <w:marLeft w:val="0"/>
      <w:marRight w:val="0"/>
      <w:marTop w:val="0"/>
      <w:marBottom w:val="0"/>
      <w:divBdr>
        <w:top w:val="none" w:sz="0" w:space="0" w:color="auto"/>
        <w:left w:val="none" w:sz="0" w:space="0" w:color="auto"/>
        <w:bottom w:val="none" w:sz="0" w:space="0" w:color="auto"/>
        <w:right w:val="none" w:sz="0" w:space="0" w:color="auto"/>
      </w:divBdr>
    </w:div>
    <w:div w:id="1419642077">
      <w:bodyDiv w:val="1"/>
      <w:marLeft w:val="0"/>
      <w:marRight w:val="0"/>
      <w:marTop w:val="0"/>
      <w:marBottom w:val="0"/>
      <w:divBdr>
        <w:top w:val="none" w:sz="0" w:space="0" w:color="auto"/>
        <w:left w:val="none" w:sz="0" w:space="0" w:color="auto"/>
        <w:bottom w:val="none" w:sz="0" w:space="0" w:color="auto"/>
        <w:right w:val="none" w:sz="0" w:space="0" w:color="auto"/>
      </w:divBdr>
    </w:div>
    <w:div w:id="1421098100">
      <w:bodyDiv w:val="1"/>
      <w:marLeft w:val="0"/>
      <w:marRight w:val="0"/>
      <w:marTop w:val="0"/>
      <w:marBottom w:val="0"/>
      <w:divBdr>
        <w:top w:val="none" w:sz="0" w:space="0" w:color="auto"/>
        <w:left w:val="none" w:sz="0" w:space="0" w:color="auto"/>
        <w:bottom w:val="none" w:sz="0" w:space="0" w:color="auto"/>
        <w:right w:val="none" w:sz="0" w:space="0" w:color="auto"/>
      </w:divBdr>
    </w:div>
    <w:div w:id="1421633071">
      <w:bodyDiv w:val="1"/>
      <w:marLeft w:val="0"/>
      <w:marRight w:val="0"/>
      <w:marTop w:val="0"/>
      <w:marBottom w:val="0"/>
      <w:divBdr>
        <w:top w:val="none" w:sz="0" w:space="0" w:color="auto"/>
        <w:left w:val="none" w:sz="0" w:space="0" w:color="auto"/>
        <w:bottom w:val="none" w:sz="0" w:space="0" w:color="auto"/>
        <w:right w:val="none" w:sz="0" w:space="0" w:color="auto"/>
      </w:divBdr>
    </w:div>
    <w:div w:id="1422415508">
      <w:bodyDiv w:val="1"/>
      <w:marLeft w:val="0"/>
      <w:marRight w:val="0"/>
      <w:marTop w:val="0"/>
      <w:marBottom w:val="0"/>
      <w:divBdr>
        <w:top w:val="none" w:sz="0" w:space="0" w:color="auto"/>
        <w:left w:val="none" w:sz="0" w:space="0" w:color="auto"/>
        <w:bottom w:val="none" w:sz="0" w:space="0" w:color="auto"/>
        <w:right w:val="none" w:sz="0" w:space="0" w:color="auto"/>
      </w:divBdr>
    </w:div>
    <w:div w:id="1423602625">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25226783">
      <w:bodyDiv w:val="1"/>
      <w:marLeft w:val="0"/>
      <w:marRight w:val="0"/>
      <w:marTop w:val="0"/>
      <w:marBottom w:val="0"/>
      <w:divBdr>
        <w:top w:val="none" w:sz="0" w:space="0" w:color="auto"/>
        <w:left w:val="none" w:sz="0" w:space="0" w:color="auto"/>
        <w:bottom w:val="none" w:sz="0" w:space="0" w:color="auto"/>
        <w:right w:val="none" w:sz="0" w:space="0" w:color="auto"/>
      </w:divBdr>
    </w:div>
    <w:div w:id="1427001151">
      <w:bodyDiv w:val="1"/>
      <w:marLeft w:val="0"/>
      <w:marRight w:val="0"/>
      <w:marTop w:val="0"/>
      <w:marBottom w:val="0"/>
      <w:divBdr>
        <w:top w:val="none" w:sz="0" w:space="0" w:color="auto"/>
        <w:left w:val="none" w:sz="0" w:space="0" w:color="auto"/>
        <w:bottom w:val="none" w:sz="0" w:space="0" w:color="auto"/>
        <w:right w:val="none" w:sz="0" w:space="0" w:color="auto"/>
      </w:divBdr>
    </w:div>
    <w:div w:id="1429815873">
      <w:bodyDiv w:val="1"/>
      <w:marLeft w:val="0"/>
      <w:marRight w:val="0"/>
      <w:marTop w:val="0"/>
      <w:marBottom w:val="0"/>
      <w:divBdr>
        <w:top w:val="none" w:sz="0" w:space="0" w:color="auto"/>
        <w:left w:val="none" w:sz="0" w:space="0" w:color="auto"/>
        <w:bottom w:val="none" w:sz="0" w:space="0" w:color="auto"/>
        <w:right w:val="none" w:sz="0" w:space="0" w:color="auto"/>
      </w:divBdr>
    </w:div>
    <w:div w:id="1437410776">
      <w:bodyDiv w:val="1"/>
      <w:marLeft w:val="0"/>
      <w:marRight w:val="0"/>
      <w:marTop w:val="0"/>
      <w:marBottom w:val="0"/>
      <w:divBdr>
        <w:top w:val="none" w:sz="0" w:space="0" w:color="auto"/>
        <w:left w:val="none" w:sz="0" w:space="0" w:color="auto"/>
        <w:bottom w:val="none" w:sz="0" w:space="0" w:color="auto"/>
        <w:right w:val="none" w:sz="0" w:space="0" w:color="auto"/>
      </w:divBdr>
    </w:div>
    <w:div w:id="1439907729">
      <w:bodyDiv w:val="1"/>
      <w:marLeft w:val="0"/>
      <w:marRight w:val="0"/>
      <w:marTop w:val="0"/>
      <w:marBottom w:val="0"/>
      <w:divBdr>
        <w:top w:val="none" w:sz="0" w:space="0" w:color="auto"/>
        <w:left w:val="none" w:sz="0" w:space="0" w:color="auto"/>
        <w:bottom w:val="none" w:sz="0" w:space="0" w:color="auto"/>
        <w:right w:val="none" w:sz="0" w:space="0" w:color="auto"/>
      </w:divBdr>
    </w:div>
    <w:div w:id="1443106025">
      <w:bodyDiv w:val="1"/>
      <w:marLeft w:val="0"/>
      <w:marRight w:val="0"/>
      <w:marTop w:val="0"/>
      <w:marBottom w:val="0"/>
      <w:divBdr>
        <w:top w:val="none" w:sz="0" w:space="0" w:color="auto"/>
        <w:left w:val="none" w:sz="0" w:space="0" w:color="auto"/>
        <w:bottom w:val="none" w:sz="0" w:space="0" w:color="auto"/>
        <w:right w:val="none" w:sz="0" w:space="0" w:color="auto"/>
      </w:divBdr>
    </w:div>
    <w:div w:id="1444769597">
      <w:bodyDiv w:val="1"/>
      <w:marLeft w:val="0"/>
      <w:marRight w:val="0"/>
      <w:marTop w:val="0"/>
      <w:marBottom w:val="0"/>
      <w:divBdr>
        <w:top w:val="none" w:sz="0" w:space="0" w:color="auto"/>
        <w:left w:val="none" w:sz="0" w:space="0" w:color="auto"/>
        <w:bottom w:val="none" w:sz="0" w:space="0" w:color="auto"/>
        <w:right w:val="none" w:sz="0" w:space="0" w:color="auto"/>
      </w:divBdr>
    </w:div>
    <w:div w:id="1448239295">
      <w:bodyDiv w:val="1"/>
      <w:marLeft w:val="0"/>
      <w:marRight w:val="0"/>
      <w:marTop w:val="0"/>
      <w:marBottom w:val="0"/>
      <w:divBdr>
        <w:top w:val="none" w:sz="0" w:space="0" w:color="auto"/>
        <w:left w:val="none" w:sz="0" w:space="0" w:color="auto"/>
        <w:bottom w:val="none" w:sz="0" w:space="0" w:color="auto"/>
        <w:right w:val="none" w:sz="0" w:space="0" w:color="auto"/>
      </w:divBdr>
    </w:div>
    <w:div w:id="1454134980">
      <w:bodyDiv w:val="1"/>
      <w:marLeft w:val="0"/>
      <w:marRight w:val="0"/>
      <w:marTop w:val="0"/>
      <w:marBottom w:val="0"/>
      <w:divBdr>
        <w:top w:val="none" w:sz="0" w:space="0" w:color="auto"/>
        <w:left w:val="none" w:sz="0" w:space="0" w:color="auto"/>
        <w:bottom w:val="none" w:sz="0" w:space="0" w:color="auto"/>
        <w:right w:val="none" w:sz="0" w:space="0" w:color="auto"/>
      </w:divBdr>
    </w:div>
    <w:div w:id="1454596450">
      <w:bodyDiv w:val="1"/>
      <w:marLeft w:val="0"/>
      <w:marRight w:val="0"/>
      <w:marTop w:val="0"/>
      <w:marBottom w:val="0"/>
      <w:divBdr>
        <w:top w:val="none" w:sz="0" w:space="0" w:color="auto"/>
        <w:left w:val="none" w:sz="0" w:space="0" w:color="auto"/>
        <w:bottom w:val="none" w:sz="0" w:space="0" w:color="auto"/>
        <w:right w:val="none" w:sz="0" w:space="0" w:color="auto"/>
      </w:divBdr>
    </w:div>
    <w:div w:id="1455518472">
      <w:bodyDiv w:val="1"/>
      <w:marLeft w:val="0"/>
      <w:marRight w:val="0"/>
      <w:marTop w:val="0"/>
      <w:marBottom w:val="0"/>
      <w:divBdr>
        <w:top w:val="none" w:sz="0" w:space="0" w:color="auto"/>
        <w:left w:val="none" w:sz="0" w:space="0" w:color="auto"/>
        <w:bottom w:val="none" w:sz="0" w:space="0" w:color="auto"/>
        <w:right w:val="none" w:sz="0" w:space="0" w:color="auto"/>
      </w:divBdr>
    </w:div>
    <w:div w:id="1457219287">
      <w:bodyDiv w:val="1"/>
      <w:marLeft w:val="0"/>
      <w:marRight w:val="0"/>
      <w:marTop w:val="0"/>
      <w:marBottom w:val="0"/>
      <w:divBdr>
        <w:top w:val="none" w:sz="0" w:space="0" w:color="auto"/>
        <w:left w:val="none" w:sz="0" w:space="0" w:color="auto"/>
        <w:bottom w:val="none" w:sz="0" w:space="0" w:color="auto"/>
        <w:right w:val="none" w:sz="0" w:space="0" w:color="auto"/>
      </w:divBdr>
    </w:div>
    <w:div w:id="1459371171">
      <w:bodyDiv w:val="1"/>
      <w:marLeft w:val="0"/>
      <w:marRight w:val="0"/>
      <w:marTop w:val="0"/>
      <w:marBottom w:val="0"/>
      <w:divBdr>
        <w:top w:val="none" w:sz="0" w:space="0" w:color="auto"/>
        <w:left w:val="none" w:sz="0" w:space="0" w:color="auto"/>
        <w:bottom w:val="none" w:sz="0" w:space="0" w:color="auto"/>
        <w:right w:val="none" w:sz="0" w:space="0" w:color="auto"/>
      </w:divBdr>
    </w:div>
    <w:div w:id="1459564247">
      <w:bodyDiv w:val="1"/>
      <w:marLeft w:val="0"/>
      <w:marRight w:val="0"/>
      <w:marTop w:val="0"/>
      <w:marBottom w:val="0"/>
      <w:divBdr>
        <w:top w:val="none" w:sz="0" w:space="0" w:color="auto"/>
        <w:left w:val="none" w:sz="0" w:space="0" w:color="auto"/>
        <w:bottom w:val="none" w:sz="0" w:space="0" w:color="auto"/>
        <w:right w:val="none" w:sz="0" w:space="0" w:color="auto"/>
      </w:divBdr>
    </w:div>
    <w:div w:id="1462311135">
      <w:bodyDiv w:val="1"/>
      <w:marLeft w:val="0"/>
      <w:marRight w:val="0"/>
      <w:marTop w:val="0"/>
      <w:marBottom w:val="0"/>
      <w:divBdr>
        <w:top w:val="none" w:sz="0" w:space="0" w:color="auto"/>
        <w:left w:val="none" w:sz="0" w:space="0" w:color="auto"/>
        <w:bottom w:val="none" w:sz="0" w:space="0" w:color="auto"/>
        <w:right w:val="none" w:sz="0" w:space="0" w:color="auto"/>
      </w:divBdr>
    </w:div>
    <w:div w:id="1463763440">
      <w:bodyDiv w:val="1"/>
      <w:marLeft w:val="0"/>
      <w:marRight w:val="0"/>
      <w:marTop w:val="0"/>
      <w:marBottom w:val="0"/>
      <w:divBdr>
        <w:top w:val="none" w:sz="0" w:space="0" w:color="auto"/>
        <w:left w:val="none" w:sz="0" w:space="0" w:color="auto"/>
        <w:bottom w:val="none" w:sz="0" w:space="0" w:color="auto"/>
        <w:right w:val="none" w:sz="0" w:space="0" w:color="auto"/>
      </w:divBdr>
    </w:div>
    <w:div w:id="1465392853">
      <w:bodyDiv w:val="1"/>
      <w:marLeft w:val="0"/>
      <w:marRight w:val="0"/>
      <w:marTop w:val="0"/>
      <w:marBottom w:val="0"/>
      <w:divBdr>
        <w:top w:val="none" w:sz="0" w:space="0" w:color="auto"/>
        <w:left w:val="none" w:sz="0" w:space="0" w:color="auto"/>
        <w:bottom w:val="none" w:sz="0" w:space="0" w:color="auto"/>
        <w:right w:val="none" w:sz="0" w:space="0" w:color="auto"/>
      </w:divBdr>
    </w:div>
    <w:div w:id="1467164702">
      <w:bodyDiv w:val="1"/>
      <w:marLeft w:val="0"/>
      <w:marRight w:val="0"/>
      <w:marTop w:val="0"/>
      <w:marBottom w:val="0"/>
      <w:divBdr>
        <w:top w:val="none" w:sz="0" w:space="0" w:color="auto"/>
        <w:left w:val="none" w:sz="0" w:space="0" w:color="auto"/>
        <w:bottom w:val="none" w:sz="0" w:space="0" w:color="auto"/>
        <w:right w:val="none" w:sz="0" w:space="0" w:color="auto"/>
      </w:divBdr>
    </w:div>
    <w:div w:id="1467971043">
      <w:bodyDiv w:val="1"/>
      <w:marLeft w:val="0"/>
      <w:marRight w:val="0"/>
      <w:marTop w:val="0"/>
      <w:marBottom w:val="0"/>
      <w:divBdr>
        <w:top w:val="none" w:sz="0" w:space="0" w:color="auto"/>
        <w:left w:val="none" w:sz="0" w:space="0" w:color="auto"/>
        <w:bottom w:val="none" w:sz="0" w:space="0" w:color="auto"/>
        <w:right w:val="none" w:sz="0" w:space="0" w:color="auto"/>
      </w:divBdr>
    </w:div>
    <w:div w:id="1468469945">
      <w:bodyDiv w:val="1"/>
      <w:marLeft w:val="0"/>
      <w:marRight w:val="0"/>
      <w:marTop w:val="0"/>
      <w:marBottom w:val="0"/>
      <w:divBdr>
        <w:top w:val="none" w:sz="0" w:space="0" w:color="auto"/>
        <w:left w:val="none" w:sz="0" w:space="0" w:color="auto"/>
        <w:bottom w:val="none" w:sz="0" w:space="0" w:color="auto"/>
        <w:right w:val="none" w:sz="0" w:space="0" w:color="auto"/>
      </w:divBdr>
    </w:div>
    <w:div w:id="1471900219">
      <w:bodyDiv w:val="1"/>
      <w:marLeft w:val="0"/>
      <w:marRight w:val="0"/>
      <w:marTop w:val="0"/>
      <w:marBottom w:val="0"/>
      <w:divBdr>
        <w:top w:val="none" w:sz="0" w:space="0" w:color="auto"/>
        <w:left w:val="none" w:sz="0" w:space="0" w:color="auto"/>
        <w:bottom w:val="none" w:sz="0" w:space="0" w:color="auto"/>
        <w:right w:val="none" w:sz="0" w:space="0" w:color="auto"/>
      </w:divBdr>
    </w:div>
    <w:div w:id="1471901993">
      <w:bodyDiv w:val="1"/>
      <w:marLeft w:val="0"/>
      <w:marRight w:val="0"/>
      <w:marTop w:val="0"/>
      <w:marBottom w:val="0"/>
      <w:divBdr>
        <w:top w:val="none" w:sz="0" w:space="0" w:color="auto"/>
        <w:left w:val="none" w:sz="0" w:space="0" w:color="auto"/>
        <w:bottom w:val="none" w:sz="0" w:space="0" w:color="auto"/>
        <w:right w:val="none" w:sz="0" w:space="0" w:color="auto"/>
      </w:divBdr>
    </w:div>
    <w:div w:id="1475954316">
      <w:bodyDiv w:val="1"/>
      <w:marLeft w:val="0"/>
      <w:marRight w:val="0"/>
      <w:marTop w:val="0"/>
      <w:marBottom w:val="0"/>
      <w:divBdr>
        <w:top w:val="none" w:sz="0" w:space="0" w:color="auto"/>
        <w:left w:val="none" w:sz="0" w:space="0" w:color="auto"/>
        <w:bottom w:val="none" w:sz="0" w:space="0" w:color="auto"/>
        <w:right w:val="none" w:sz="0" w:space="0" w:color="auto"/>
      </w:divBdr>
    </w:div>
    <w:div w:id="1476680255">
      <w:bodyDiv w:val="1"/>
      <w:marLeft w:val="0"/>
      <w:marRight w:val="0"/>
      <w:marTop w:val="0"/>
      <w:marBottom w:val="0"/>
      <w:divBdr>
        <w:top w:val="none" w:sz="0" w:space="0" w:color="auto"/>
        <w:left w:val="none" w:sz="0" w:space="0" w:color="auto"/>
        <w:bottom w:val="none" w:sz="0" w:space="0" w:color="auto"/>
        <w:right w:val="none" w:sz="0" w:space="0" w:color="auto"/>
      </w:divBdr>
    </w:div>
    <w:div w:id="1479106772">
      <w:bodyDiv w:val="1"/>
      <w:marLeft w:val="0"/>
      <w:marRight w:val="0"/>
      <w:marTop w:val="0"/>
      <w:marBottom w:val="0"/>
      <w:divBdr>
        <w:top w:val="none" w:sz="0" w:space="0" w:color="auto"/>
        <w:left w:val="none" w:sz="0" w:space="0" w:color="auto"/>
        <w:bottom w:val="none" w:sz="0" w:space="0" w:color="auto"/>
        <w:right w:val="none" w:sz="0" w:space="0" w:color="auto"/>
      </w:divBdr>
    </w:div>
    <w:div w:id="1479758431">
      <w:bodyDiv w:val="1"/>
      <w:marLeft w:val="0"/>
      <w:marRight w:val="0"/>
      <w:marTop w:val="0"/>
      <w:marBottom w:val="0"/>
      <w:divBdr>
        <w:top w:val="none" w:sz="0" w:space="0" w:color="auto"/>
        <w:left w:val="none" w:sz="0" w:space="0" w:color="auto"/>
        <w:bottom w:val="none" w:sz="0" w:space="0" w:color="auto"/>
        <w:right w:val="none" w:sz="0" w:space="0" w:color="auto"/>
      </w:divBdr>
    </w:div>
    <w:div w:id="1480415669">
      <w:bodyDiv w:val="1"/>
      <w:marLeft w:val="0"/>
      <w:marRight w:val="0"/>
      <w:marTop w:val="0"/>
      <w:marBottom w:val="0"/>
      <w:divBdr>
        <w:top w:val="none" w:sz="0" w:space="0" w:color="auto"/>
        <w:left w:val="none" w:sz="0" w:space="0" w:color="auto"/>
        <w:bottom w:val="none" w:sz="0" w:space="0" w:color="auto"/>
        <w:right w:val="none" w:sz="0" w:space="0" w:color="auto"/>
      </w:divBdr>
    </w:div>
    <w:div w:id="1480658762">
      <w:bodyDiv w:val="1"/>
      <w:marLeft w:val="0"/>
      <w:marRight w:val="0"/>
      <w:marTop w:val="0"/>
      <w:marBottom w:val="0"/>
      <w:divBdr>
        <w:top w:val="none" w:sz="0" w:space="0" w:color="auto"/>
        <w:left w:val="none" w:sz="0" w:space="0" w:color="auto"/>
        <w:bottom w:val="none" w:sz="0" w:space="0" w:color="auto"/>
        <w:right w:val="none" w:sz="0" w:space="0" w:color="auto"/>
      </w:divBdr>
    </w:div>
    <w:div w:id="1481576042">
      <w:bodyDiv w:val="1"/>
      <w:marLeft w:val="0"/>
      <w:marRight w:val="0"/>
      <w:marTop w:val="0"/>
      <w:marBottom w:val="0"/>
      <w:divBdr>
        <w:top w:val="none" w:sz="0" w:space="0" w:color="auto"/>
        <w:left w:val="none" w:sz="0" w:space="0" w:color="auto"/>
        <w:bottom w:val="none" w:sz="0" w:space="0" w:color="auto"/>
        <w:right w:val="none" w:sz="0" w:space="0" w:color="auto"/>
      </w:divBdr>
    </w:div>
    <w:div w:id="1484352528">
      <w:bodyDiv w:val="1"/>
      <w:marLeft w:val="0"/>
      <w:marRight w:val="0"/>
      <w:marTop w:val="0"/>
      <w:marBottom w:val="0"/>
      <w:divBdr>
        <w:top w:val="none" w:sz="0" w:space="0" w:color="auto"/>
        <w:left w:val="none" w:sz="0" w:space="0" w:color="auto"/>
        <w:bottom w:val="none" w:sz="0" w:space="0" w:color="auto"/>
        <w:right w:val="none" w:sz="0" w:space="0" w:color="auto"/>
      </w:divBdr>
    </w:div>
    <w:div w:id="1485705006">
      <w:bodyDiv w:val="1"/>
      <w:marLeft w:val="0"/>
      <w:marRight w:val="0"/>
      <w:marTop w:val="0"/>
      <w:marBottom w:val="0"/>
      <w:divBdr>
        <w:top w:val="none" w:sz="0" w:space="0" w:color="auto"/>
        <w:left w:val="none" w:sz="0" w:space="0" w:color="auto"/>
        <w:bottom w:val="none" w:sz="0" w:space="0" w:color="auto"/>
        <w:right w:val="none" w:sz="0" w:space="0" w:color="auto"/>
      </w:divBdr>
    </w:div>
    <w:div w:id="1486582505">
      <w:bodyDiv w:val="1"/>
      <w:marLeft w:val="0"/>
      <w:marRight w:val="0"/>
      <w:marTop w:val="0"/>
      <w:marBottom w:val="0"/>
      <w:divBdr>
        <w:top w:val="none" w:sz="0" w:space="0" w:color="auto"/>
        <w:left w:val="none" w:sz="0" w:space="0" w:color="auto"/>
        <w:bottom w:val="none" w:sz="0" w:space="0" w:color="auto"/>
        <w:right w:val="none" w:sz="0" w:space="0" w:color="auto"/>
      </w:divBdr>
    </w:div>
    <w:div w:id="1487434396">
      <w:bodyDiv w:val="1"/>
      <w:marLeft w:val="0"/>
      <w:marRight w:val="0"/>
      <w:marTop w:val="0"/>
      <w:marBottom w:val="0"/>
      <w:divBdr>
        <w:top w:val="none" w:sz="0" w:space="0" w:color="auto"/>
        <w:left w:val="none" w:sz="0" w:space="0" w:color="auto"/>
        <w:bottom w:val="none" w:sz="0" w:space="0" w:color="auto"/>
        <w:right w:val="none" w:sz="0" w:space="0" w:color="auto"/>
      </w:divBdr>
    </w:div>
    <w:div w:id="1488402093">
      <w:bodyDiv w:val="1"/>
      <w:marLeft w:val="0"/>
      <w:marRight w:val="0"/>
      <w:marTop w:val="0"/>
      <w:marBottom w:val="0"/>
      <w:divBdr>
        <w:top w:val="none" w:sz="0" w:space="0" w:color="auto"/>
        <w:left w:val="none" w:sz="0" w:space="0" w:color="auto"/>
        <w:bottom w:val="none" w:sz="0" w:space="0" w:color="auto"/>
        <w:right w:val="none" w:sz="0" w:space="0" w:color="auto"/>
      </w:divBdr>
    </w:div>
    <w:div w:id="1489398399">
      <w:bodyDiv w:val="1"/>
      <w:marLeft w:val="0"/>
      <w:marRight w:val="0"/>
      <w:marTop w:val="0"/>
      <w:marBottom w:val="0"/>
      <w:divBdr>
        <w:top w:val="none" w:sz="0" w:space="0" w:color="auto"/>
        <w:left w:val="none" w:sz="0" w:space="0" w:color="auto"/>
        <w:bottom w:val="none" w:sz="0" w:space="0" w:color="auto"/>
        <w:right w:val="none" w:sz="0" w:space="0" w:color="auto"/>
      </w:divBdr>
    </w:div>
    <w:div w:id="1490560541">
      <w:bodyDiv w:val="1"/>
      <w:marLeft w:val="0"/>
      <w:marRight w:val="0"/>
      <w:marTop w:val="0"/>
      <w:marBottom w:val="0"/>
      <w:divBdr>
        <w:top w:val="none" w:sz="0" w:space="0" w:color="auto"/>
        <w:left w:val="none" w:sz="0" w:space="0" w:color="auto"/>
        <w:bottom w:val="none" w:sz="0" w:space="0" w:color="auto"/>
        <w:right w:val="none" w:sz="0" w:space="0" w:color="auto"/>
      </w:divBdr>
    </w:div>
    <w:div w:id="1498493949">
      <w:bodyDiv w:val="1"/>
      <w:marLeft w:val="0"/>
      <w:marRight w:val="0"/>
      <w:marTop w:val="0"/>
      <w:marBottom w:val="0"/>
      <w:divBdr>
        <w:top w:val="none" w:sz="0" w:space="0" w:color="auto"/>
        <w:left w:val="none" w:sz="0" w:space="0" w:color="auto"/>
        <w:bottom w:val="none" w:sz="0" w:space="0" w:color="auto"/>
        <w:right w:val="none" w:sz="0" w:space="0" w:color="auto"/>
      </w:divBdr>
    </w:div>
    <w:div w:id="1500077280">
      <w:bodyDiv w:val="1"/>
      <w:marLeft w:val="0"/>
      <w:marRight w:val="0"/>
      <w:marTop w:val="0"/>
      <w:marBottom w:val="0"/>
      <w:divBdr>
        <w:top w:val="none" w:sz="0" w:space="0" w:color="auto"/>
        <w:left w:val="none" w:sz="0" w:space="0" w:color="auto"/>
        <w:bottom w:val="none" w:sz="0" w:space="0" w:color="auto"/>
        <w:right w:val="none" w:sz="0" w:space="0" w:color="auto"/>
      </w:divBdr>
    </w:div>
    <w:div w:id="1500461072">
      <w:bodyDiv w:val="1"/>
      <w:marLeft w:val="0"/>
      <w:marRight w:val="0"/>
      <w:marTop w:val="0"/>
      <w:marBottom w:val="0"/>
      <w:divBdr>
        <w:top w:val="none" w:sz="0" w:space="0" w:color="auto"/>
        <w:left w:val="none" w:sz="0" w:space="0" w:color="auto"/>
        <w:bottom w:val="none" w:sz="0" w:space="0" w:color="auto"/>
        <w:right w:val="none" w:sz="0" w:space="0" w:color="auto"/>
      </w:divBdr>
    </w:div>
    <w:div w:id="1505441501">
      <w:bodyDiv w:val="1"/>
      <w:marLeft w:val="0"/>
      <w:marRight w:val="0"/>
      <w:marTop w:val="0"/>
      <w:marBottom w:val="0"/>
      <w:divBdr>
        <w:top w:val="none" w:sz="0" w:space="0" w:color="auto"/>
        <w:left w:val="none" w:sz="0" w:space="0" w:color="auto"/>
        <w:bottom w:val="none" w:sz="0" w:space="0" w:color="auto"/>
        <w:right w:val="none" w:sz="0" w:space="0" w:color="auto"/>
      </w:divBdr>
    </w:div>
    <w:div w:id="1509563348">
      <w:bodyDiv w:val="1"/>
      <w:marLeft w:val="0"/>
      <w:marRight w:val="0"/>
      <w:marTop w:val="0"/>
      <w:marBottom w:val="0"/>
      <w:divBdr>
        <w:top w:val="none" w:sz="0" w:space="0" w:color="auto"/>
        <w:left w:val="none" w:sz="0" w:space="0" w:color="auto"/>
        <w:bottom w:val="none" w:sz="0" w:space="0" w:color="auto"/>
        <w:right w:val="none" w:sz="0" w:space="0" w:color="auto"/>
      </w:divBdr>
    </w:div>
    <w:div w:id="1512449671">
      <w:bodyDiv w:val="1"/>
      <w:marLeft w:val="0"/>
      <w:marRight w:val="0"/>
      <w:marTop w:val="0"/>
      <w:marBottom w:val="0"/>
      <w:divBdr>
        <w:top w:val="none" w:sz="0" w:space="0" w:color="auto"/>
        <w:left w:val="none" w:sz="0" w:space="0" w:color="auto"/>
        <w:bottom w:val="none" w:sz="0" w:space="0" w:color="auto"/>
        <w:right w:val="none" w:sz="0" w:space="0" w:color="auto"/>
      </w:divBdr>
    </w:div>
    <w:div w:id="1523978854">
      <w:bodyDiv w:val="1"/>
      <w:marLeft w:val="0"/>
      <w:marRight w:val="0"/>
      <w:marTop w:val="0"/>
      <w:marBottom w:val="0"/>
      <w:divBdr>
        <w:top w:val="none" w:sz="0" w:space="0" w:color="auto"/>
        <w:left w:val="none" w:sz="0" w:space="0" w:color="auto"/>
        <w:bottom w:val="none" w:sz="0" w:space="0" w:color="auto"/>
        <w:right w:val="none" w:sz="0" w:space="0" w:color="auto"/>
      </w:divBdr>
    </w:div>
    <w:div w:id="1525242036">
      <w:bodyDiv w:val="1"/>
      <w:marLeft w:val="0"/>
      <w:marRight w:val="0"/>
      <w:marTop w:val="0"/>
      <w:marBottom w:val="0"/>
      <w:divBdr>
        <w:top w:val="none" w:sz="0" w:space="0" w:color="auto"/>
        <w:left w:val="none" w:sz="0" w:space="0" w:color="auto"/>
        <w:bottom w:val="none" w:sz="0" w:space="0" w:color="auto"/>
        <w:right w:val="none" w:sz="0" w:space="0" w:color="auto"/>
      </w:divBdr>
    </w:div>
    <w:div w:id="1531601552">
      <w:bodyDiv w:val="1"/>
      <w:marLeft w:val="0"/>
      <w:marRight w:val="0"/>
      <w:marTop w:val="0"/>
      <w:marBottom w:val="0"/>
      <w:divBdr>
        <w:top w:val="none" w:sz="0" w:space="0" w:color="auto"/>
        <w:left w:val="none" w:sz="0" w:space="0" w:color="auto"/>
        <w:bottom w:val="none" w:sz="0" w:space="0" w:color="auto"/>
        <w:right w:val="none" w:sz="0" w:space="0" w:color="auto"/>
      </w:divBdr>
    </w:div>
    <w:div w:id="1535998878">
      <w:bodyDiv w:val="1"/>
      <w:marLeft w:val="0"/>
      <w:marRight w:val="0"/>
      <w:marTop w:val="0"/>
      <w:marBottom w:val="0"/>
      <w:divBdr>
        <w:top w:val="none" w:sz="0" w:space="0" w:color="auto"/>
        <w:left w:val="none" w:sz="0" w:space="0" w:color="auto"/>
        <w:bottom w:val="none" w:sz="0" w:space="0" w:color="auto"/>
        <w:right w:val="none" w:sz="0" w:space="0" w:color="auto"/>
      </w:divBdr>
    </w:div>
    <w:div w:id="1538204144">
      <w:bodyDiv w:val="1"/>
      <w:marLeft w:val="0"/>
      <w:marRight w:val="0"/>
      <w:marTop w:val="0"/>
      <w:marBottom w:val="0"/>
      <w:divBdr>
        <w:top w:val="none" w:sz="0" w:space="0" w:color="auto"/>
        <w:left w:val="none" w:sz="0" w:space="0" w:color="auto"/>
        <w:bottom w:val="none" w:sz="0" w:space="0" w:color="auto"/>
        <w:right w:val="none" w:sz="0" w:space="0" w:color="auto"/>
      </w:divBdr>
    </w:div>
    <w:div w:id="1538280000">
      <w:bodyDiv w:val="1"/>
      <w:marLeft w:val="0"/>
      <w:marRight w:val="0"/>
      <w:marTop w:val="0"/>
      <w:marBottom w:val="0"/>
      <w:divBdr>
        <w:top w:val="none" w:sz="0" w:space="0" w:color="auto"/>
        <w:left w:val="none" w:sz="0" w:space="0" w:color="auto"/>
        <w:bottom w:val="none" w:sz="0" w:space="0" w:color="auto"/>
        <w:right w:val="none" w:sz="0" w:space="0" w:color="auto"/>
      </w:divBdr>
    </w:div>
    <w:div w:id="1539661385">
      <w:bodyDiv w:val="1"/>
      <w:marLeft w:val="0"/>
      <w:marRight w:val="0"/>
      <w:marTop w:val="0"/>
      <w:marBottom w:val="0"/>
      <w:divBdr>
        <w:top w:val="none" w:sz="0" w:space="0" w:color="auto"/>
        <w:left w:val="none" w:sz="0" w:space="0" w:color="auto"/>
        <w:bottom w:val="none" w:sz="0" w:space="0" w:color="auto"/>
        <w:right w:val="none" w:sz="0" w:space="0" w:color="auto"/>
      </w:divBdr>
    </w:div>
    <w:div w:id="1542128172">
      <w:bodyDiv w:val="1"/>
      <w:marLeft w:val="0"/>
      <w:marRight w:val="0"/>
      <w:marTop w:val="0"/>
      <w:marBottom w:val="0"/>
      <w:divBdr>
        <w:top w:val="none" w:sz="0" w:space="0" w:color="auto"/>
        <w:left w:val="none" w:sz="0" w:space="0" w:color="auto"/>
        <w:bottom w:val="none" w:sz="0" w:space="0" w:color="auto"/>
        <w:right w:val="none" w:sz="0" w:space="0" w:color="auto"/>
      </w:divBdr>
    </w:div>
    <w:div w:id="1542477858">
      <w:bodyDiv w:val="1"/>
      <w:marLeft w:val="0"/>
      <w:marRight w:val="0"/>
      <w:marTop w:val="0"/>
      <w:marBottom w:val="0"/>
      <w:divBdr>
        <w:top w:val="none" w:sz="0" w:space="0" w:color="auto"/>
        <w:left w:val="none" w:sz="0" w:space="0" w:color="auto"/>
        <w:bottom w:val="none" w:sz="0" w:space="0" w:color="auto"/>
        <w:right w:val="none" w:sz="0" w:space="0" w:color="auto"/>
      </w:divBdr>
    </w:div>
    <w:div w:id="1543135875">
      <w:bodyDiv w:val="1"/>
      <w:marLeft w:val="0"/>
      <w:marRight w:val="0"/>
      <w:marTop w:val="0"/>
      <w:marBottom w:val="0"/>
      <w:divBdr>
        <w:top w:val="none" w:sz="0" w:space="0" w:color="auto"/>
        <w:left w:val="none" w:sz="0" w:space="0" w:color="auto"/>
        <w:bottom w:val="none" w:sz="0" w:space="0" w:color="auto"/>
        <w:right w:val="none" w:sz="0" w:space="0" w:color="auto"/>
      </w:divBdr>
    </w:div>
    <w:div w:id="1543135931">
      <w:bodyDiv w:val="1"/>
      <w:marLeft w:val="0"/>
      <w:marRight w:val="0"/>
      <w:marTop w:val="0"/>
      <w:marBottom w:val="0"/>
      <w:divBdr>
        <w:top w:val="none" w:sz="0" w:space="0" w:color="auto"/>
        <w:left w:val="none" w:sz="0" w:space="0" w:color="auto"/>
        <w:bottom w:val="none" w:sz="0" w:space="0" w:color="auto"/>
        <w:right w:val="none" w:sz="0" w:space="0" w:color="auto"/>
      </w:divBdr>
    </w:div>
    <w:div w:id="1543201775">
      <w:bodyDiv w:val="1"/>
      <w:marLeft w:val="0"/>
      <w:marRight w:val="0"/>
      <w:marTop w:val="0"/>
      <w:marBottom w:val="0"/>
      <w:divBdr>
        <w:top w:val="none" w:sz="0" w:space="0" w:color="auto"/>
        <w:left w:val="none" w:sz="0" w:space="0" w:color="auto"/>
        <w:bottom w:val="none" w:sz="0" w:space="0" w:color="auto"/>
        <w:right w:val="none" w:sz="0" w:space="0" w:color="auto"/>
      </w:divBdr>
    </w:div>
    <w:div w:id="1544974546">
      <w:bodyDiv w:val="1"/>
      <w:marLeft w:val="0"/>
      <w:marRight w:val="0"/>
      <w:marTop w:val="0"/>
      <w:marBottom w:val="0"/>
      <w:divBdr>
        <w:top w:val="none" w:sz="0" w:space="0" w:color="auto"/>
        <w:left w:val="none" w:sz="0" w:space="0" w:color="auto"/>
        <w:bottom w:val="none" w:sz="0" w:space="0" w:color="auto"/>
        <w:right w:val="none" w:sz="0" w:space="0" w:color="auto"/>
      </w:divBdr>
    </w:div>
    <w:div w:id="1556503611">
      <w:bodyDiv w:val="1"/>
      <w:marLeft w:val="0"/>
      <w:marRight w:val="0"/>
      <w:marTop w:val="0"/>
      <w:marBottom w:val="0"/>
      <w:divBdr>
        <w:top w:val="none" w:sz="0" w:space="0" w:color="auto"/>
        <w:left w:val="none" w:sz="0" w:space="0" w:color="auto"/>
        <w:bottom w:val="none" w:sz="0" w:space="0" w:color="auto"/>
        <w:right w:val="none" w:sz="0" w:space="0" w:color="auto"/>
      </w:divBdr>
    </w:div>
    <w:div w:id="1557088649">
      <w:bodyDiv w:val="1"/>
      <w:marLeft w:val="0"/>
      <w:marRight w:val="0"/>
      <w:marTop w:val="0"/>
      <w:marBottom w:val="0"/>
      <w:divBdr>
        <w:top w:val="none" w:sz="0" w:space="0" w:color="auto"/>
        <w:left w:val="none" w:sz="0" w:space="0" w:color="auto"/>
        <w:bottom w:val="none" w:sz="0" w:space="0" w:color="auto"/>
        <w:right w:val="none" w:sz="0" w:space="0" w:color="auto"/>
      </w:divBdr>
    </w:div>
    <w:div w:id="1558054799">
      <w:bodyDiv w:val="1"/>
      <w:marLeft w:val="0"/>
      <w:marRight w:val="0"/>
      <w:marTop w:val="0"/>
      <w:marBottom w:val="0"/>
      <w:divBdr>
        <w:top w:val="none" w:sz="0" w:space="0" w:color="auto"/>
        <w:left w:val="none" w:sz="0" w:space="0" w:color="auto"/>
        <w:bottom w:val="none" w:sz="0" w:space="0" w:color="auto"/>
        <w:right w:val="none" w:sz="0" w:space="0" w:color="auto"/>
      </w:divBdr>
    </w:div>
    <w:div w:id="1558319358">
      <w:bodyDiv w:val="1"/>
      <w:marLeft w:val="0"/>
      <w:marRight w:val="0"/>
      <w:marTop w:val="0"/>
      <w:marBottom w:val="0"/>
      <w:divBdr>
        <w:top w:val="none" w:sz="0" w:space="0" w:color="auto"/>
        <w:left w:val="none" w:sz="0" w:space="0" w:color="auto"/>
        <w:bottom w:val="none" w:sz="0" w:space="0" w:color="auto"/>
        <w:right w:val="none" w:sz="0" w:space="0" w:color="auto"/>
      </w:divBdr>
    </w:div>
    <w:div w:id="1559435627">
      <w:bodyDiv w:val="1"/>
      <w:marLeft w:val="0"/>
      <w:marRight w:val="0"/>
      <w:marTop w:val="0"/>
      <w:marBottom w:val="0"/>
      <w:divBdr>
        <w:top w:val="none" w:sz="0" w:space="0" w:color="auto"/>
        <w:left w:val="none" w:sz="0" w:space="0" w:color="auto"/>
        <w:bottom w:val="none" w:sz="0" w:space="0" w:color="auto"/>
        <w:right w:val="none" w:sz="0" w:space="0" w:color="auto"/>
      </w:divBdr>
    </w:div>
    <w:div w:id="1561282142">
      <w:bodyDiv w:val="1"/>
      <w:marLeft w:val="0"/>
      <w:marRight w:val="0"/>
      <w:marTop w:val="0"/>
      <w:marBottom w:val="0"/>
      <w:divBdr>
        <w:top w:val="none" w:sz="0" w:space="0" w:color="auto"/>
        <w:left w:val="none" w:sz="0" w:space="0" w:color="auto"/>
        <w:bottom w:val="none" w:sz="0" w:space="0" w:color="auto"/>
        <w:right w:val="none" w:sz="0" w:space="0" w:color="auto"/>
      </w:divBdr>
    </w:div>
    <w:div w:id="1569993604">
      <w:bodyDiv w:val="1"/>
      <w:marLeft w:val="0"/>
      <w:marRight w:val="0"/>
      <w:marTop w:val="0"/>
      <w:marBottom w:val="0"/>
      <w:divBdr>
        <w:top w:val="none" w:sz="0" w:space="0" w:color="auto"/>
        <w:left w:val="none" w:sz="0" w:space="0" w:color="auto"/>
        <w:bottom w:val="none" w:sz="0" w:space="0" w:color="auto"/>
        <w:right w:val="none" w:sz="0" w:space="0" w:color="auto"/>
      </w:divBdr>
    </w:div>
    <w:div w:id="1571622926">
      <w:bodyDiv w:val="1"/>
      <w:marLeft w:val="0"/>
      <w:marRight w:val="0"/>
      <w:marTop w:val="0"/>
      <w:marBottom w:val="0"/>
      <w:divBdr>
        <w:top w:val="none" w:sz="0" w:space="0" w:color="auto"/>
        <w:left w:val="none" w:sz="0" w:space="0" w:color="auto"/>
        <w:bottom w:val="none" w:sz="0" w:space="0" w:color="auto"/>
        <w:right w:val="none" w:sz="0" w:space="0" w:color="auto"/>
      </w:divBdr>
    </w:div>
    <w:div w:id="1578400835">
      <w:bodyDiv w:val="1"/>
      <w:marLeft w:val="0"/>
      <w:marRight w:val="0"/>
      <w:marTop w:val="0"/>
      <w:marBottom w:val="0"/>
      <w:divBdr>
        <w:top w:val="none" w:sz="0" w:space="0" w:color="auto"/>
        <w:left w:val="none" w:sz="0" w:space="0" w:color="auto"/>
        <w:bottom w:val="none" w:sz="0" w:space="0" w:color="auto"/>
        <w:right w:val="none" w:sz="0" w:space="0" w:color="auto"/>
      </w:divBdr>
    </w:div>
    <w:div w:id="1580864076">
      <w:bodyDiv w:val="1"/>
      <w:marLeft w:val="0"/>
      <w:marRight w:val="0"/>
      <w:marTop w:val="0"/>
      <w:marBottom w:val="0"/>
      <w:divBdr>
        <w:top w:val="none" w:sz="0" w:space="0" w:color="auto"/>
        <w:left w:val="none" w:sz="0" w:space="0" w:color="auto"/>
        <w:bottom w:val="none" w:sz="0" w:space="0" w:color="auto"/>
        <w:right w:val="none" w:sz="0" w:space="0" w:color="auto"/>
      </w:divBdr>
    </w:div>
    <w:div w:id="1584140873">
      <w:bodyDiv w:val="1"/>
      <w:marLeft w:val="0"/>
      <w:marRight w:val="0"/>
      <w:marTop w:val="0"/>
      <w:marBottom w:val="0"/>
      <w:divBdr>
        <w:top w:val="none" w:sz="0" w:space="0" w:color="auto"/>
        <w:left w:val="none" w:sz="0" w:space="0" w:color="auto"/>
        <w:bottom w:val="none" w:sz="0" w:space="0" w:color="auto"/>
        <w:right w:val="none" w:sz="0" w:space="0" w:color="auto"/>
      </w:divBdr>
    </w:div>
    <w:div w:id="1585148062">
      <w:bodyDiv w:val="1"/>
      <w:marLeft w:val="0"/>
      <w:marRight w:val="0"/>
      <w:marTop w:val="0"/>
      <w:marBottom w:val="0"/>
      <w:divBdr>
        <w:top w:val="none" w:sz="0" w:space="0" w:color="auto"/>
        <w:left w:val="none" w:sz="0" w:space="0" w:color="auto"/>
        <w:bottom w:val="none" w:sz="0" w:space="0" w:color="auto"/>
        <w:right w:val="none" w:sz="0" w:space="0" w:color="auto"/>
      </w:divBdr>
    </w:div>
    <w:div w:id="1589119975">
      <w:bodyDiv w:val="1"/>
      <w:marLeft w:val="0"/>
      <w:marRight w:val="0"/>
      <w:marTop w:val="0"/>
      <w:marBottom w:val="0"/>
      <w:divBdr>
        <w:top w:val="none" w:sz="0" w:space="0" w:color="auto"/>
        <w:left w:val="none" w:sz="0" w:space="0" w:color="auto"/>
        <w:bottom w:val="none" w:sz="0" w:space="0" w:color="auto"/>
        <w:right w:val="none" w:sz="0" w:space="0" w:color="auto"/>
      </w:divBdr>
    </w:div>
    <w:div w:id="1592470220">
      <w:bodyDiv w:val="1"/>
      <w:marLeft w:val="0"/>
      <w:marRight w:val="0"/>
      <w:marTop w:val="0"/>
      <w:marBottom w:val="0"/>
      <w:divBdr>
        <w:top w:val="none" w:sz="0" w:space="0" w:color="auto"/>
        <w:left w:val="none" w:sz="0" w:space="0" w:color="auto"/>
        <w:bottom w:val="none" w:sz="0" w:space="0" w:color="auto"/>
        <w:right w:val="none" w:sz="0" w:space="0" w:color="auto"/>
      </w:divBdr>
    </w:div>
    <w:div w:id="1593003152">
      <w:bodyDiv w:val="1"/>
      <w:marLeft w:val="0"/>
      <w:marRight w:val="0"/>
      <w:marTop w:val="0"/>
      <w:marBottom w:val="0"/>
      <w:divBdr>
        <w:top w:val="none" w:sz="0" w:space="0" w:color="auto"/>
        <w:left w:val="none" w:sz="0" w:space="0" w:color="auto"/>
        <w:bottom w:val="none" w:sz="0" w:space="0" w:color="auto"/>
        <w:right w:val="none" w:sz="0" w:space="0" w:color="auto"/>
      </w:divBdr>
    </w:div>
    <w:div w:id="1595741203">
      <w:bodyDiv w:val="1"/>
      <w:marLeft w:val="0"/>
      <w:marRight w:val="0"/>
      <w:marTop w:val="0"/>
      <w:marBottom w:val="0"/>
      <w:divBdr>
        <w:top w:val="none" w:sz="0" w:space="0" w:color="auto"/>
        <w:left w:val="none" w:sz="0" w:space="0" w:color="auto"/>
        <w:bottom w:val="none" w:sz="0" w:space="0" w:color="auto"/>
        <w:right w:val="none" w:sz="0" w:space="0" w:color="auto"/>
      </w:divBdr>
    </w:div>
    <w:div w:id="1596554255">
      <w:bodyDiv w:val="1"/>
      <w:marLeft w:val="0"/>
      <w:marRight w:val="0"/>
      <w:marTop w:val="0"/>
      <w:marBottom w:val="0"/>
      <w:divBdr>
        <w:top w:val="none" w:sz="0" w:space="0" w:color="auto"/>
        <w:left w:val="none" w:sz="0" w:space="0" w:color="auto"/>
        <w:bottom w:val="none" w:sz="0" w:space="0" w:color="auto"/>
        <w:right w:val="none" w:sz="0" w:space="0" w:color="auto"/>
      </w:divBdr>
    </w:div>
    <w:div w:id="1599826797">
      <w:bodyDiv w:val="1"/>
      <w:marLeft w:val="0"/>
      <w:marRight w:val="0"/>
      <w:marTop w:val="0"/>
      <w:marBottom w:val="0"/>
      <w:divBdr>
        <w:top w:val="none" w:sz="0" w:space="0" w:color="auto"/>
        <w:left w:val="none" w:sz="0" w:space="0" w:color="auto"/>
        <w:bottom w:val="none" w:sz="0" w:space="0" w:color="auto"/>
        <w:right w:val="none" w:sz="0" w:space="0" w:color="auto"/>
      </w:divBdr>
    </w:div>
    <w:div w:id="1601255200">
      <w:bodyDiv w:val="1"/>
      <w:marLeft w:val="0"/>
      <w:marRight w:val="0"/>
      <w:marTop w:val="0"/>
      <w:marBottom w:val="0"/>
      <w:divBdr>
        <w:top w:val="none" w:sz="0" w:space="0" w:color="auto"/>
        <w:left w:val="none" w:sz="0" w:space="0" w:color="auto"/>
        <w:bottom w:val="none" w:sz="0" w:space="0" w:color="auto"/>
        <w:right w:val="none" w:sz="0" w:space="0" w:color="auto"/>
      </w:divBdr>
    </w:div>
    <w:div w:id="1606494745">
      <w:bodyDiv w:val="1"/>
      <w:marLeft w:val="0"/>
      <w:marRight w:val="0"/>
      <w:marTop w:val="0"/>
      <w:marBottom w:val="0"/>
      <w:divBdr>
        <w:top w:val="none" w:sz="0" w:space="0" w:color="auto"/>
        <w:left w:val="none" w:sz="0" w:space="0" w:color="auto"/>
        <w:bottom w:val="none" w:sz="0" w:space="0" w:color="auto"/>
        <w:right w:val="none" w:sz="0" w:space="0" w:color="auto"/>
      </w:divBdr>
    </w:div>
    <w:div w:id="1607813211">
      <w:bodyDiv w:val="1"/>
      <w:marLeft w:val="0"/>
      <w:marRight w:val="0"/>
      <w:marTop w:val="0"/>
      <w:marBottom w:val="0"/>
      <w:divBdr>
        <w:top w:val="none" w:sz="0" w:space="0" w:color="auto"/>
        <w:left w:val="none" w:sz="0" w:space="0" w:color="auto"/>
        <w:bottom w:val="none" w:sz="0" w:space="0" w:color="auto"/>
        <w:right w:val="none" w:sz="0" w:space="0" w:color="auto"/>
      </w:divBdr>
    </w:div>
    <w:div w:id="1608736309">
      <w:bodyDiv w:val="1"/>
      <w:marLeft w:val="0"/>
      <w:marRight w:val="0"/>
      <w:marTop w:val="0"/>
      <w:marBottom w:val="0"/>
      <w:divBdr>
        <w:top w:val="none" w:sz="0" w:space="0" w:color="auto"/>
        <w:left w:val="none" w:sz="0" w:space="0" w:color="auto"/>
        <w:bottom w:val="none" w:sz="0" w:space="0" w:color="auto"/>
        <w:right w:val="none" w:sz="0" w:space="0" w:color="auto"/>
      </w:divBdr>
    </w:div>
    <w:div w:id="1621299252">
      <w:bodyDiv w:val="1"/>
      <w:marLeft w:val="0"/>
      <w:marRight w:val="0"/>
      <w:marTop w:val="0"/>
      <w:marBottom w:val="0"/>
      <w:divBdr>
        <w:top w:val="none" w:sz="0" w:space="0" w:color="auto"/>
        <w:left w:val="none" w:sz="0" w:space="0" w:color="auto"/>
        <w:bottom w:val="none" w:sz="0" w:space="0" w:color="auto"/>
        <w:right w:val="none" w:sz="0" w:space="0" w:color="auto"/>
      </w:divBdr>
    </w:div>
    <w:div w:id="1621954999">
      <w:bodyDiv w:val="1"/>
      <w:marLeft w:val="0"/>
      <w:marRight w:val="0"/>
      <w:marTop w:val="0"/>
      <w:marBottom w:val="0"/>
      <w:divBdr>
        <w:top w:val="none" w:sz="0" w:space="0" w:color="auto"/>
        <w:left w:val="none" w:sz="0" w:space="0" w:color="auto"/>
        <w:bottom w:val="none" w:sz="0" w:space="0" w:color="auto"/>
        <w:right w:val="none" w:sz="0" w:space="0" w:color="auto"/>
      </w:divBdr>
    </w:div>
    <w:div w:id="1624464325">
      <w:bodyDiv w:val="1"/>
      <w:marLeft w:val="0"/>
      <w:marRight w:val="0"/>
      <w:marTop w:val="0"/>
      <w:marBottom w:val="0"/>
      <w:divBdr>
        <w:top w:val="none" w:sz="0" w:space="0" w:color="auto"/>
        <w:left w:val="none" w:sz="0" w:space="0" w:color="auto"/>
        <w:bottom w:val="none" w:sz="0" w:space="0" w:color="auto"/>
        <w:right w:val="none" w:sz="0" w:space="0" w:color="auto"/>
      </w:divBdr>
    </w:div>
    <w:div w:id="1625186079">
      <w:bodyDiv w:val="1"/>
      <w:marLeft w:val="0"/>
      <w:marRight w:val="0"/>
      <w:marTop w:val="0"/>
      <w:marBottom w:val="0"/>
      <w:divBdr>
        <w:top w:val="none" w:sz="0" w:space="0" w:color="auto"/>
        <w:left w:val="none" w:sz="0" w:space="0" w:color="auto"/>
        <w:bottom w:val="none" w:sz="0" w:space="0" w:color="auto"/>
        <w:right w:val="none" w:sz="0" w:space="0" w:color="auto"/>
      </w:divBdr>
    </w:div>
    <w:div w:id="1625581231">
      <w:bodyDiv w:val="1"/>
      <w:marLeft w:val="0"/>
      <w:marRight w:val="0"/>
      <w:marTop w:val="0"/>
      <w:marBottom w:val="0"/>
      <w:divBdr>
        <w:top w:val="none" w:sz="0" w:space="0" w:color="auto"/>
        <w:left w:val="none" w:sz="0" w:space="0" w:color="auto"/>
        <w:bottom w:val="none" w:sz="0" w:space="0" w:color="auto"/>
        <w:right w:val="none" w:sz="0" w:space="0" w:color="auto"/>
      </w:divBdr>
    </w:div>
    <w:div w:id="1627077485">
      <w:bodyDiv w:val="1"/>
      <w:marLeft w:val="0"/>
      <w:marRight w:val="0"/>
      <w:marTop w:val="0"/>
      <w:marBottom w:val="0"/>
      <w:divBdr>
        <w:top w:val="none" w:sz="0" w:space="0" w:color="auto"/>
        <w:left w:val="none" w:sz="0" w:space="0" w:color="auto"/>
        <w:bottom w:val="none" w:sz="0" w:space="0" w:color="auto"/>
        <w:right w:val="none" w:sz="0" w:space="0" w:color="auto"/>
      </w:divBdr>
    </w:div>
    <w:div w:id="1628465830">
      <w:bodyDiv w:val="1"/>
      <w:marLeft w:val="0"/>
      <w:marRight w:val="0"/>
      <w:marTop w:val="0"/>
      <w:marBottom w:val="0"/>
      <w:divBdr>
        <w:top w:val="none" w:sz="0" w:space="0" w:color="auto"/>
        <w:left w:val="none" w:sz="0" w:space="0" w:color="auto"/>
        <w:bottom w:val="none" w:sz="0" w:space="0" w:color="auto"/>
        <w:right w:val="none" w:sz="0" w:space="0" w:color="auto"/>
      </w:divBdr>
    </w:div>
    <w:div w:id="1628468912">
      <w:bodyDiv w:val="1"/>
      <w:marLeft w:val="0"/>
      <w:marRight w:val="0"/>
      <w:marTop w:val="0"/>
      <w:marBottom w:val="0"/>
      <w:divBdr>
        <w:top w:val="none" w:sz="0" w:space="0" w:color="auto"/>
        <w:left w:val="none" w:sz="0" w:space="0" w:color="auto"/>
        <w:bottom w:val="none" w:sz="0" w:space="0" w:color="auto"/>
        <w:right w:val="none" w:sz="0" w:space="0" w:color="auto"/>
      </w:divBdr>
    </w:div>
    <w:div w:id="1631008714">
      <w:bodyDiv w:val="1"/>
      <w:marLeft w:val="0"/>
      <w:marRight w:val="0"/>
      <w:marTop w:val="0"/>
      <w:marBottom w:val="0"/>
      <w:divBdr>
        <w:top w:val="none" w:sz="0" w:space="0" w:color="auto"/>
        <w:left w:val="none" w:sz="0" w:space="0" w:color="auto"/>
        <w:bottom w:val="none" w:sz="0" w:space="0" w:color="auto"/>
        <w:right w:val="none" w:sz="0" w:space="0" w:color="auto"/>
      </w:divBdr>
    </w:div>
    <w:div w:id="1631787692">
      <w:bodyDiv w:val="1"/>
      <w:marLeft w:val="0"/>
      <w:marRight w:val="0"/>
      <w:marTop w:val="0"/>
      <w:marBottom w:val="0"/>
      <w:divBdr>
        <w:top w:val="none" w:sz="0" w:space="0" w:color="auto"/>
        <w:left w:val="none" w:sz="0" w:space="0" w:color="auto"/>
        <w:bottom w:val="none" w:sz="0" w:space="0" w:color="auto"/>
        <w:right w:val="none" w:sz="0" w:space="0" w:color="auto"/>
      </w:divBdr>
    </w:div>
    <w:div w:id="1633052793">
      <w:bodyDiv w:val="1"/>
      <w:marLeft w:val="0"/>
      <w:marRight w:val="0"/>
      <w:marTop w:val="0"/>
      <w:marBottom w:val="0"/>
      <w:divBdr>
        <w:top w:val="none" w:sz="0" w:space="0" w:color="auto"/>
        <w:left w:val="none" w:sz="0" w:space="0" w:color="auto"/>
        <w:bottom w:val="none" w:sz="0" w:space="0" w:color="auto"/>
        <w:right w:val="none" w:sz="0" w:space="0" w:color="auto"/>
      </w:divBdr>
    </w:div>
    <w:div w:id="1633485556">
      <w:bodyDiv w:val="1"/>
      <w:marLeft w:val="0"/>
      <w:marRight w:val="0"/>
      <w:marTop w:val="0"/>
      <w:marBottom w:val="0"/>
      <w:divBdr>
        <w:top w:val="none" w:sz="0" w:space="0" w:color="auto"/>
        <w:left w:val="none" w:sz="0" w:space="0" w:color="auto"/>
        <w:bottom w:val="none" w:sz="0" w:space="0" w:color="auto"/>
        <w:right w:val="none" w:sz="0" w:space="0" w:color="auto"/>
      </w:divBdr>
    </w:div>
    <w:div w:id="1634482473">
      <w:bodyDiv w:val="1"/>
      <w:marLeft w:val="0"/>
      <w:marRight w:val="0"/>
      <w:marTop w:val="0"/>
      <w:marBottom w:val="0"/>
      <w:divBdr>
        <w:top w:val="none" w:sz="0" w:space="0" w:color="auto"/>
        <w:left w:val="none" w:sz="0" w:space="0" w:color="auto"/>
        <w:bottom w:val="none" w:sz="0" w:space="0" w:color="auto"/>
        <w:right w:val="none" w:sz="0" w:space="0" w:color="auto"/>
      </w:divBdr>
    </w:div>
    <w:div w:id="1636567392">
      <w:bodyDiv w:val="1"/>
      <w:marLeft w:val="0"/>
      <w:marRight w:val="0"/>
      <w:marTop w:val="0"/>
      <w:marBottom w:val="0"/>
      <w:divBdr>
        <w:top w:val="none" w:sz="0" w:space="0" w:color="auto"/>
        <w:left w:val="none" w:sz="0" w:space="0" w:color="auto"/>
        <w:bottom w:val="none" w:sz="0" w:space="0" w:color="auto"/>
        <w:right w:val="none" w:sz="0" w:space="0" w:color="auto"/>
      </w:divBdr>
    </w:div>
    <w:div w:id="1637640854">
      <w:bodyDiv w:val="1"/>
      <w:marLeft w:val="0"/>
      <w:marRight w:val="0"/>
      <w:marTop w:val="0"/>
      <w:marBottom w:val="0"/>
      <w:divBdr>
        <w:top w:val="none" w:sz="0" w:space="0" w:color="auto"/>
        <w:left w:val="none" w:sz="0" w:space="0" w:color="auto"/>
        <w:bottom w:val="none" w:sz="0" w:space="0" w:color="auto"/>
        <w:right w:val="none" w:sz="0" w:space="0" w:color="auto"/>
      </w:divBdr>
    </w:div>
    <w:div w:id="1641569638">
      <w:bodyDiv w:val="1"/>
      <w:marLeft w:val="0"/>
      <w:marRight w:val="0"/>
      <w:marTop w:val="0"/>
      <w:marBottom w:val="0"/>
      <w:divBdr>
        <w:top w:val="none" w:sz="0" w:space="0" w:color="auto"/>
        <w:left w:val="none" w:sz="0" w:space="0" w:color="auto"/>
        <w:bottom w:val="none" w:sz="0" w:space="0" w:color="auto"/>
        <w:right w:val="none" w:sz="0" w:space="0" w:color="auto"/>
      </w:divBdr>
    </w:div>
    <w:div w:id="1642148829">
      <w:bodyDiv w:val="1"/>
      <w:marLeft w:val="0"/>
      <w:marRight w:val="0"/>
      <w:marTop w:val="0"/>
      <w:marBottom w:val="0"/>
      <w:divBdr>
        <w:top w:val="none" w:sz="0" w:space="0" w:color="auto"/>
        <w:left w:val="none" w:sz="0" w:space="0" w:color="auto"/>
        <w:bottom w:val="none" w:sz="0" w:space="0" w:color="auto"/>
        <w:right w:val="none" w:sz="0" w:space="0" w:color="auto"/>
      </w:divBdr>
    </w:div>
    <w:div w:id="1642467761">
      <w:bodyDiv w:val="1"/>
      <w:marLeft w:val="0"/>
      <w:marRight w:val="0"/>
      <w:marTop w:val="0"/>
      <w:marBottom w:val="0"/>
      <w:divBdr>
        <w:top w:val="none" w:sz="0" w:space="0" w:color="auto"/>
        <w:left w:val="none" w:sz="0" w:space="0" w:color="auto"/>
        <w:bottom w:val="none" w:sz="0" w:space="0" w:color="auto"/>
        <w:right w:val="none" w:sz="0" w:space="0" w:color="auto"/>
      </w:divBdr>
    </w:div>
    <w:div w:id="1644696968">
      <w:bodyDiv w:val="1"/>
      <w:marLeft w:val="0"/>
      <w:marRight w:val="0"/>
      <w:marTop w:val="0"/>
      <w:marBottom w:val="0"/>
      <w:divBdr>
        <w:top w:val="none" w:sz="0" w:space="0" w:color="auto"/>
        <w:left w:val="none" w:sz="0" w:space="0" w:color="auto"/>
        <w:bottom w:val="none" w:sz="0" w:space="0" w:color="auto"/>
        <w:right w:val="none" w:sz="0" w:space="0" w:color="auto"/>
      </w:divBdr>
    </w:div>
    <w:div w:id="1644852849">
      <w:bodyDiv w:val="1"/>
      <w:marLeft w:val="0"/>
      <w:marRight w:val="0"/>
      <w:marTop w:val="0"/>
      <w:marBottom w:val="0"/>
      <w:divBdr>
        <w:top w:val="none" w:sz="0" w:space="0" w:color="auto"/>
        <w:left w:val="none" w:sz="0" w:space="0" w:color="auto"/>
        <w:bottom w:val="none" w:sz="0" w:space="0" w:color="auto"/>
        <w:right w:val="none" w:sz="0" w:space="0" w:color="auto"/>
      </w:divBdr>
    </w:div>
    <w:div w:id="1647935348">
      <w:bodyDiv w:val="1"/>
      <w:marLeft w:val="0"/>
      <w:marRight w:val="0"/>
      <w:marTop w:val="0"/>
      <w:marBottom w:val="0"/>
      <w:divBdr>
        <w:top w:val="none" w:sz="0" w:space="0" w:color="auto"/>
        <w:left w:val="none" w:sz="0" w:space="0" w:color="auto"/>
        <w:bottom w:val="none" w:sz="0" w:space="0" w:color="auto"/>
        <w:right w:val="none" w:sz="0" w:space="0" w:color="auto"/>
      </w:divBdr>
    </w:div>
    <w:div w:id="1648128250">
      <w:bodyDiv w:val="1"/>
      <w:marLeft w:val="0"/>
      <w:marRight w:val="0"/>
      <w:marTop w:val="0"/>
      <w:marBottom w:val="0"/>
      <w:divBdr>
        <w:top w:val="none" w:sz="0" w:space="0" w:color="auto"/>
        <w:left w:val="none" w:sz="0" w:space="0" w:color="auto"/>
        <w:bottom w:val="none" w:sz="0" w:space="0" w:color="auto"/>
        <w:right w:val="none" w:sz="0" w:space="0" w:color="auto"/>
      </w:divBdr>
    </w:div>
    <w:div w:id="1650868307">
      <w:bodyDiv w:val="1"/>
      <w:marLeft w:val="0"/>
      <w:marRight w:val="0"/>
      <w:marTop w:val="0"/>
      <w:marBottom w:val="0"/>
      <w:divBdr>
        <w:top w:val="none" w:sz="0" w:space="0" w:color="auto"/>
        <w:left w:val="none" w:sz="0" w:space="0" w:color="auto"/>
        <w:bottom w:val="none" w:sz="0" w:space="0" w:color="auto"/>
        <w:right w:val="none" w:sz="0" w:space="0" w:color="auto"/>
      </w:divBdr>
    </w:div>
    <w:div w:id="1658222989">
      <w:bodyDiv w:val="1"/>
      <w:marLeft w:val="0"/>
      <w:marRight w:val="0"/>
      <w:marTop w:val="0"/>
      <w:marBottom w:val="0"/>
      <w:divBdr>
        <w:top w:val="none" w:sz="0" w:space="0" w:color="auto"/>
        <w:left w:val="none" w:sz="0" w:space="0" w:color="auto"/>
        <w:bottom w:val="none" w:sz="0" w:space="0" w:color="auto"/>
        <w:right w:val="none" w:sz="0" w:space="0" w:color="auto"/>
      </w:divBdr>
    </w:div>
    <w:div w:id="1659456462">
      <w:bodyDiv w:val="1"/>
      <w:marLeft w:val="0"/>
      <w:marRight w:val="0"/>
      <w:marTop w:val="0"/>
      <w:marBottom w:val="0"/>
      <w:divBdr>
        <w:top w:val="none" w:sz="0" w:space="0" w:color="auto"/>
        <w:left w:val="none" w:sz="0" w:space="0" w:color="auto"/>
        <w:bottom w:val="none" w:sz="0" w:space="0" w:color="auto"/>
        <w:right w:val="none" w:sz="0" w:space="0" w:color="auto"/>
      </w:divBdr>
    </w:div>
    <w:div w:id="1666126585">
      <w:bodyDiv w:val="1"/>
      <w:marLeft w:val="0"/>
      <w:marRight w:val="0"/>
      <w:marTop w:val="0"/>
      <w:marBottom w:val="0"/>
      <w:divBdr>
        <w:top w:val="none" w:sz="0" w:space="0" w:color="auto"/>
        <w:left w:val="none" w:sz="0" w:space="0" w:color="auto"/>
        <w:bottom w:val="none" w:sz="0" w:space="0" w:color="auto"/>
        <w:right w:val="none" w:sz="0" w:space="0" w:color="auto"/>
      </w:divBdr>
    </w:div>
    <w:div w:id="1667323158">
      <w:bodyDiv w:val="1"/>
      <w:marLeft w:val="0"/>
      <w:marRight w:val="0"/>
      <w:marTop w:val="0"/>
      <w:marBottom w:val="0"/>
      <w:divBdr>
        <w:top w:val="none" w:sz="0" w:space="0" w:color="auto"/>
        <w:left w:val="none" w:sz="0" w:space="0" w:color="auto"/>
        <w:bottom w:val="none" w:sz="0" w:space="0" w:color="auto"/>
        <w:right w:val="none" w:sz="0" w:space="0" w:color="auto"/>
      </w:divBdr>
    </w:div>
    <w:div w:id="1670601860">
      <w:bodyDiv w:val="1"/>
      <w:marLeft w:val="0"/>
      <w:marRight w:val="0"/>
      <w:marTop w:val="0"/>
      <w:marBottom w:val="0"/>
      <w:divBdr>
        <w:top w:val="none" w:sz="0" w:space="0" w:color="auto"/>
        <w:left w:val="none" w:sz="0" w:space="0" w:color="auto"/>
        <w:bottom w:val="none" w:sz="0" w:space="0" w:color="auto"/>
        <w:right w:val="none" w:sz="0" w:space="0" w:color="auto"/>
      </w:divBdr>
    </w:div>
    <w:div w:id="1676106793">
      <w:bodyDiv w:val="1"/>
      <w:marLeft w:val="0"/>
      <w:marRight w:val="0"/>
      <w:marTop w:val="0"/>
      <w:marBottom w:val="0"/>
      <w:divBdr>
        <w:top w:val="none" w:sz="0" w:space="0" w:color="auto"/>
        <w:left w:val="none" w:sz="0" w:space="0" w:color="auto"/>
        <w:bottom w:val="none" w:sz="0" w:space="0" w:color="auto"/>
        <w:right w:val="none" w:sz="0" w:space="0" w:color="auto"/>
      </w:divBdr>
    </w:div>
    <w:div w:id="1676229699">
      <w:bodyDiv w:val="1"/>
      <w:marLeft w:val="0"/>
      <w:marRight w:val="0"/>
      <w:marTop w:val="0"/>
      <w:marBottom w:val="0"/>
      <w:divBdr>
        <w:top w:val="none" w:sz="0" w:space="0" w:color="auto"/>
        <w:left w:val="none" w:sz="0" w:space="0" w:color="auto"/>
        <w:bottom w:val="none" w:sz="0" w:space="0" w:color="auto"/>
        <w:right w:val="none" w:sz="0" w:space="0" w:color="auto"/>
      </w:divBdr>
    </w:div>
    <w:div w:id="1679501469">
      <w:bodyDiv w:val="1"/>
      <w:marLeft w:val="0"/>
      <w:marRight w:val="0"/>
      <w:marTop w:val="0"/>
      <w:marBottom w:val="0"/>
      <w:divBdr>
        <w:top w:val="none" w:sz="0" w:space="0" w:color="auto"/>
        <w:left w:val="none" w:sz="0" w:space="0" w:color="auto"/>
        <w:bottom w:val="none" w:sz="0" w:space="0" w:color="auto"/>
        <w:right w:val="none" w:sz="0" w:space="0" w:color="auto"/>
      </w:divBdr>
    </w:div>
    <w:div w:id="1681159779">
      <w:bodyDiv w:val="1"/>
      <w:marLeft w:val="0"/>
      <w:marRight w:val="0"/>
      <w:marTop w:val="0"/>
      <w:marBottom w:val="0"/>
      <w:divBdr>
        <w:top w:val="none" w:sz="0" w:space="0" w:color="auto"/>
        <w:left w:val="none" w:sz="0" w:space="0" w:color="auto"/>
        <w:bottom w:val="none" w:sz="0" w:space="0" w:color="auto"/>
        <w:right w:val="none" w:sz="0" w:space="0" w:color="auto"/>
      </w:divBdr>
    </w:div>
    <w:div w:id="1682657496">
      <w:bodyDiv w:val="1"/>
      <w:marLeft w:val="0"/>
      <w:marRight w:val="0"/>
      <w:marTop w:val="0"/>
      <w:marBottom w:val="0"/>
      <w:divBdr>
        <w:top w:val="none" w:sz="0" w:space="0" w:color="auto"/>
        <w:left w:val="none" w:sz="0" w:space="0" w:color="auto"/>
        <w:bottom w:val="none" w:sz="0" w:space="0" w:color="auto"/>
        <w:right w:val="none" w:sz="0" w:space="0" w:color="auto"/>
      </w:divBdr>
    </w:div>
    <w:div w:id="1685159545">
      <w:bodyDiv w:val="1"/>
      <w:marLeft w:val="0"/>
      <w:marRight w:val="0"/>
      <w:marTop w:val="0"/>
      <w:marBottom w:val="0"/>
      <w:divBdr>
        <w:top w:val="none" w:sz="0" w:space="0" w:color="auto"/>
        <w:left w:val="none" w:sz="0" w:space="0" w:color="auto"/>
        <w:bottom w:val="none" w:sz="0" w:space="0" w:color="auto"/>
        <w:right w:val="none" w:sz="0" w:space="0" w:color="auto"/>
      </w:divBdr>
    </w:div>
    <w:div w:id="1688209972">
      <w:bodyDiv w:val="1"/>
      <w:marLeft w:val="0"/>
      <w:marRight w:val="0"/>
      <w:marTop w:val="0"/>
      <w:marBottom w:val="0"/>
      <w:divBdr>
        <w:top w:val="none" w:sz="0" w:space="0" w:color="auto"/>
        <w:left w:val="none" w:sz="0" w:space="0" w:color="auto"/>
        <w:bottom w:val="none" w:sz="0" w:space="0" w:color="auto"/>
        <w:right w:val="none" w:sz="0" w:space="0" w:color="auto"/>
      </w:divBdr>
    </w:div>
    <w:div w:id="1698123028">
      <w:bodyDiv w:val="1"/>
      <w:marLeft w:val="0"/>
      <w:marRight w:val="0"/>
      <w:marTop w:val="0"/>
      <w:marBottom w:val="0"/>
      <w:divBdr>
        <w:top w:val="none" w:sz="0" w:space="0" w:color="auto"/>
        <w:left w:val="none" w:sz="0" w:space="0" w:color="auto"/>
        <w:bottom w:val="none" w:sz="0" w:space="0" w:color="auto"/>
        <w:right w:val="none" w:sz="0" w:space="0" w:color="auto"/>
      </w:divBdr>
    </w:div>
    <w:div w:id="1699307839">
      <w:bodyDiv w:val="1"/>
      <w:marLeft w:val="0"/>
      <w:marRight w:val="0"/>
      <w:marTop w:val="0"/>
      <w:marBottom w:val="0"/>
      <w:divBdr>
        <w:top w:val="none" w:sz="0" w:space="0" w:color="auto"/>
        <w:left w:val="none" w:sz="0" w:space="0" w:color="auto"/>
        <w:bottom w:val="none" w:sz="0" w:space="0" w:color="auto"/>
        <w:right w:val="none" w:sz="0" w:space="0" w:color="auto"/>
      </w:divBdr>
    </w:div>
    <w:div w:id="1699430115">
      <w:bodyDiv w:val="1"/>
      <w:marLeft w:val="0"/>
      <w:marRight w:val="0"/>
      <w:marTop w:val="0"/>
      <w:marBottom w:val="0"/>
      <w:divBdr>
        <w:top w:val="none" w:sz="0" w:space="0" w:color="auto"/>
        <w:left w:val="none" w:sz="0" w:space="0" w:color="auto"/>
        <w:bottom w:val="none" w:sz="0" w:space="0" w:color="auto"/>
        <w:right w:val="none" w:sz="0" w:space="0" w:color="auto"/>
      </w:divBdr>
    </w:div>
    <w:div w:id="1699889485">
      <w:bodyDiv w:val="1"/>
      <w:marLeft w:val="0"/>
      <w:marRight w:val="0"/>
      <w:marTop w:val="0"/>
      <w:marBottom w:val="0"/>
      <w:divBdr>
        <w:top w:val="none" w:sz="0" w:space="0" w:color="auto"/>
        <w:left w:val="none" w:sz="0" w:space="0" w:color="auto"/>
        <w:bottom w:val="none" w:sz="0" w:space="0" w:color="auto"/>
        <w:right w:val="none" w:sz="0" w:space="0" w:color="auto"/>
      </w:divBdr>
    </w:div>
    <w:div w:id="1700546659">
      <w:bodyDiv w:val="1"/>
      <w:marLeft w:val="0"/>
      <w:marRight w:val="0"/>
      <w:marTop w:val="0"/>
      <w:marBottom w:val="0"/>
      <w:divBdr>
        <w:top w:val="none" w:sz="0" w:space="0" w:color="auto"/>
        <w:left w:val="none" w:sz="0" w:space="0" w:color="auto"/>
        <w:bottom w:val="none" w:sz="0" w:space="0" w:color="auto"/>
        <w:right w:val="none" w:sz="0" w:space="0" w:color="auto"/>
      </w:divBdr>
    </w:div>
    <w:div w:id="1702975833">
      <w:bodyDiv w:val="1"/>
      <w:marLeft w:val="0"/>
      <w:marRight w:val="0"/>
      <w:marTop w:val="0"/>
      <w:marBottom w:val="0"/>
      <w:divBdr>
        <w:top w:val="none" w:sz="0" w:space="0" w:color="auto"/>
        <w:left w:val="none" w:sz="0" w:space="0" w:color="auto"/>
        <w:bottom w:val="none" w:sz="0" w:space="0" w:color="auto"/>
        <w:right w:val="none" w:sz="0" w:space="0" w:color="auto"/>
      </w:divBdr>
    </w:div>
    <w:div w:id="1704092163">
      <w:bodyDiv w:val="1"/>
      <w:marLeft w:val="0"/>
      <w:marRight w:val="0"/>
      <w:marTop w:val="0"/>
      <w:marBottom w:val="0"/>
      <w:divBdr>
        <w:top w:val="none" w:sz="0" w:space="0" w:color="auto"/>
        <w:left w:val="none" w:sz="0" w:space="0" w:color="auto"/>
        <w:bottom w:val="none" w:sz="0" w:space="0" w:color="auto"/>
        <w:right w:val="none" w:sz="0" w:space="0" w:color="auto"/>
      </w:divBdr>
    </w:div>
    <w:div w:id="1707947201">
      <w:bodyDiv w:val="1"/>
      <w:marLeft w:val="0"/>
      <w:marRight w:val="0"/>
      <w:marTop w:val="0"/>
      <w:marBottom w:val="0"/>
      <w:divBdr>
        <w:top w:val="none" w:sz="0" w:space="0" w:color="auto"/>
        <w:left w:val="none" w:sz="0" w:space="0" w:color="auto"/>
        <w:bottom w:val="none" w:sz="0" w:space="0" w:color="auto"/>
        <w:right w:val="none" w:sz="0" w:space="0" w:color="auto"/>
      </w:divBdr>
    </w:div>
    <w:div w:id="1708143782">
      <w:bodyDiv w:val="1"/>
      <w:marLeft w:val="0"/>
      <w:marRight w:val="0"/>
      <w:marTop w:val="0"/>
      <w:marBottom w:val="0"/>
      <w:divBdr>
        <w:top w:val="none" w:sz="0" w:space="0" w:color="auto"/>
        <w:left w:val="none" w:sz="0" w:space="0" w:color="auto"/>
        <w:bottom w:val="none" w:sz="0" w:space="0" w:color="auto"/>
        <w:right w:val="none" w:sz="0" w:space="0" w:color="auto"/>
      </w:divBdr>
    </w:div>
    <w:div w:id="1711152809">
      <w:bodyDiv w:val="1"/>
      <w:marLeft w:val="0"/>
      <w:marRight w:val="0"/>
      <w:marTop w:val="0"/>
      <w:marBottom w:val="0"/>
      <w:divBdr>
        <w:top w:val="none" w:sz="0" w:space="0" w:color="auto"/>
        <w:left w:val="none" w:sz="0" w:space="0" w:color="auto"/>
        <w:bottom w:val="none" w:sz="0" w:space="0" w:color="auto"/>
        <w:right w:val="none" w:sz="0" w:space="0" w:color="auto"/>
      </w:divBdr>
    </w:div>
    <w:div w:id="1712805420">
      <w:bodyDiv w:val="1"/>
      <w:marLeft w:val="0"/>
      <w:marRight w:val="0"/>
      <w:marTop w:val="0"/>
      <w:marBottom w:val="0"/>
      <w:divBdr>
        <w:top w:val="none" w:sz="0" w:space="0" w:color="auto"/>
        <w:left w:val="none" w:sz="0" w:space="0" w:color="auto"/>
        <w:bottom w:val="none" w:sz="0" w:space="0" w:color="auto"/>
        <w:right w:val="none" w:sz="0" w:space="0" w:color="auto"/>
      </w:divBdr>
    </w:div>
    <w:div w:id="1716852015">
      <w:bodyDiv w:val="1"/>
      <w:marLeft w:val="0"/>
      <w:marRight w:val="0"/>
      <w:marTop w:val="0"/>
      <w:marBottom w:val="0"/>
      <w:divBdr>
        <w:top w:val="none" w:sz="0" w:space="0" w:color="auto"/>
        <w:left w:val="none" w:sz="0" w:space="0" w:color="auto"/>
        <w:bottom w:val="none" w:sz="0" w:space="0" w:color="auto"/>
        <w:right w:val="none" w:sz="0" w:space="0" w:color="auto"/>
      </w:divBdr>
    </w:div>
    <w:div w:id="1726637812">
      <w:bodyDiv w:val="1"/>
      <w:marLeft w:val="0"/>
      <w:marRight w:val="0"/>
      <w:marTop w:val="0"/>
      <w:marBottom w:val="0"/>
      <w:divBdr>
        <w:top w:val="none" w:sz="0" w:space="0" w:color="auto"/>
        <w:left w:val="none" w:sz="0" w:space="0" w:color="auto"/>
        <w:bottom w:val="none" w:sz="0" w:space="0" w:color="auto"/>
        <w:right w:val="none" w:sz="0" w:space="0" w:color="auto"/>
      </w:divBdr>
    </w:div>
    <w:div w:id="1730691525">
      <w:bodyDiv w:val="1"/>
      <w:marLeft w:val="0"/>
      <w:marRight w:val="0"/>
      <w:marTop w:val="0"/>
      <w:marBottom w:val="0"/>
      <w:divBdr>
        <w:top w:val="none" w:sz="0" w:space="0" w:color="auto"/>
        <w:left w:val="none" w:sz="0" w:space="0" w:color="auto"/>
        <w:bottom w:val="none" w:sz="0" w:space="0" w:color="auto"/>
        <w:right w:val="none" w:sz="0" w:space="0" w:color="auto"/>
      </w:divBdr>
    </w:div>
    <w:div w:id="1732849499">
      <w:bodyDiv w:val="1"/>
      <w:marLeft w:val="0"/>
      <w:marRight w:val="0"/>
      <w:marTop w:val="0"/>
      <w:marBottom w:val="0"/>
      <w:divBdr>
        <w:top w:val="none" w:sz="0" w:space="0" w:color="auto"/>
        <w:left w:val="none" w:sz="0" w:space="0" w:color="auto"/>
        <w:bottom w:val="none" w:sz="0" w:space="0" w:color="auto"/>
        <w:right w:val="none" w:sz="0" w:space="0" w:color="auto"/>
      </w:divBdr>
    </w:div>
    <w:div w:id="1737050740">
      <w:bodyDiv w:val="1"/>
      <w:marLeft w:val="0"/>
      <w:marRight w:val="0"/>
      <w:marTop w:val="0"/>
      <w:marBottom w:val="0"/>
      <w:divBdr>
        <w:top w:val="none" w:sz="0" w:space="0" w:color="auto"/>
        <w:left w:val="none" w:sz="0" w:space="0" w:color="auto"/>
        <w:bottom w:val="none" w:sz="0" w:space="0" w:color="auto"/>
        <w:right w:val="none" w:sz="0" w:space="0" w:color="auto"/>
      </w:divBdr>
    </w:div>
    <w:div w:id="1739136071">
      <w:bodyDiv w:val="1"/>
      <w:marLeft w:val="0"/>
      <w:marRight w:val="0"/>
      <w:marTop w:val="0"/>
      <w:marBottom w:val="0"/>
      <w:divBdr>
        <w:top w:val="none" w:sz="0" w:space="0" w:color="auto"/>
        <w:left w:val="none" w:sz="0" w:space="0" w:color="auto"/>
        <w:bottom w:val="none" w:sz="0" w:space="0" w:color="auto"/>
        <w:right w:val="none" w:sz="0" w:space="0" w:color="auto"/>
      </w:divBdr>
    </w:div>
    <w:div w:id="1741323955">
      <w:bodyDiv w:val="1"/>
      <w:marLeft w:val="0"/>
      <w:marRight w:val="0"/>
      <w:marTop w:val="0"/>
      <w:marBottom w:val="0"/>
      <w:divBdr>
        <w:top w:val="none" w:sz="0" w:space="0" w:color="auto"/>
        <w:left w:val="none" w:sz="0" w:space="0" w:color="auto"/>
        <w:bottom w:val="none" w:sz="0" w:space="0" w:color="auto"/>
        <w:right w:val="none" w:sz="0" w:space="0" w:color="auto"/>
      </w:divBdr>
    </w:div>
    <w:div w:id="1741519025">
      <w:bodyDiv w:val="1"/>
      <w:marLeft w:val="0"/>
      <w:marRight w:val="0"/>
      <w:marTop w:val="0"/>
      <w:marBottom w:val="0"/>
      <w:divBdr>
        <w:top w:val="none" w:sz="0" w:space="0" w:color="auto"/>
        <w:left w:val="none" w:sz="0" w:space="0" w:color="auto"/>
        <w:bottom w:val="none" w:sz="0" w:space="0" w:color="auto"/>
        <w:right w:val="none" w:sz="0" w:space="0" w:color="auto"/>
      </w:divBdr>
    </w:div>
    <w:div w:id="1745227034">
      <w:bodyDiv w:val="1"/>
      <w:marLeft w:val="0"/>
      <w:marRight w:val="0"/>
      <w:marTop w:val="0"/>
      <w:marBottom w:val="0"/>
      <w:divBdr>
        <w:top w:val="none" w:sz="0" w:space="0" w:color="auto"/>
        <w:left w:val="none" w:sz="0" w:space="0" w:color="auto"/>
        <w:bottom w:val="none" w:sz="0" w:space="0" w:color="auto"/>
        <w:right w:val="none" w:sz="0" w:space="0" w:color="auto"/>
      </w:divBdr>
    </w:div>
    <w:div w:id="1747991879">
      <w:bodyDiv w:val="1"/>
      <w:marLeft w:val="0"/>
      <w:marRight w:val="0"/>
      <w:marTop w:val="0"/>
      <w:marBottom w:val="0"/>
      <w:divBdr>
        <w:top w:val="none" w:sz="0" w:space="0" w:color="auto"/>
        <w:left w:val="none" w:sz="0" w:space="0" w:color="auto"/>
        <w:bottom w:val="none" w:sz="0" w:space="0" w:color="auto"/>
        <w:right w:val="none" w:sz="0" w:space="0" w:color="auto"/>
      </w:divBdr>
    </w:div>
    <w:div w:id="1748841002">
      <w:bodyDiv w:val="1"/>
      <w:marLeft w:val="0"/>
      <w:marRight w:val="0"/>
      <w:marTop w:val="0"/>
      <w:marBottom w:val="0"/>
      <w:divBdr>
        <w:top w:val="none" w:sz="0" w:space="0" w:color="auto"/>
        <w:left w:val="none" w:sz="0" w:space="0" w:color="auto"/>
        <w:bottom w:val="none" w:sz="0" w:space="0" w:color="auto"/>
        <w:right w:val="none" w:sz="0" w:space="0" w:color="auto"/>
      </w:divBdr>
    </w:div>
    <w:div w:id="1750468844">
      <w:bodyDiv w:val="1"/>
      <w:marLeft w:val="0"/>
      <w:marRight w:val="0"/>
      <w:marTop w:val="0"/>
      <w:marBottom w:val="0"/>
      <w:divBdr>
        <w:top w:val="none" w:sz="0" w:space="0" w:color="auto"/>
        <w:left w:val="none" w:sz="0" w:space="0" w:color="auto"/>
        <w:bottom w:val="none" w:sz="0" w:space="0" w:color="auto"/>
        <w:right w:val="none" w:sz="0" w:space="0" w:color="auto"/>
      </w:divBdr>
    </w:div>
    <w:div w:id="1751197732">
      <w:bodyDiv w:val="1"/>
      <w:marLeft w:val="0"/>
      <w:marRight w:val="0"/>
      <w:marTop w:val="0"/>
      <w:marBottom w:val="0"/>
      <w:divBdr>
        <w:top w:val="none" w:sz="0" w:space="0" w:color="auto"/>
        <w:left w:val="none" w:sz="0" w:space="0" w:color="auto"/>
        <w:bottom w:val="none" w:sz="0" w:space="0" w:color="auto"/>
        <w:right w:val="none" w:sz="0" w:space="0" w:color="auto"/>
      </w:divBdr>
    </w:div>
    <w:div w:id="1751537755">
      <w:bodyDiv w:val="1"/>
      <w:marLeft w:val="0"/>
      <w:marRight w:val="0"/>
      <w:marTop w:val="0"/>
      <w:marBottom w:val="0"/>
      <w:divBdr>
        <w:top w:val="none" w:sz="0" w:space="0" w:color="auto"/>
        <w:left w:val="none" w:sz="0" w:space="0" w:color="auto"/>
        <w:bottom w:val="none" w:sz="0" w:space="0" w:color="auto"/>
        <w:right w:val="none" w:sz="0" w:space="0" w:color="auto"/>
      </w:divBdr>
    </w:div>
    <w:div w:id="1752963569">
      <w:bodyDiv w:val="1"/>
      <w:marLeft w:val="0"/>
      <w:marRight w:val="0"/>
      <w:marTop w:val="0"/>
      <w:marBottom w:val="0"/>
      <w:divBdr>
        <w:top w:val="none" w:sz="0" w:space="0" w:color="auto"/>
        <w:left w:val="none" w:sz="0" w:space="0" w:color="auto"/>
        <w:bottom w:val="none" w:sz="0" w:space="0" w:color="auto"/>
        <w:right w:val="none" w:sz="0" w:space="0" w:color="auto"/>
      </w:divBdr>
    </w:div>
    <w:div w:id="1757360687">
      <w:bodyDiv w:val="1"/>
      <w:marLeft w:val="0"/>
      <w:marRight w:val="0"/>
      <w:marTop w:val="0"/>
      <w:marBottom w:val="0"/>
      <w:divBdr>
        <w:top w:val="none" w:sz="0" w:space="0" w:color="auto"/>
        <w:left w:val="none" w:sz="0" w:space="0" w:color="auto"/>
        <w:bottom w:val="none" w:sz="0" w:space="0" w:color="auto"/>
        <w:right w:val="none" w:sz="0" w:space="0" w:color="auto"/>
      </w:divBdr>
    </w:div>
    <w:div w:id="1763211969">
      <w:bodyDiv w:val="1"/>
      <w:marLeft w:val="0"/>
      <w:marRight w:val="0"/>
      <w:marTop w:val="0"/>
      <w:marBottom w:val="0"/>
      <w:divBdr>
        <w:top w:val="none" w:sz="0" w:space="0" w:color="auto"/>
        <w:left w:val="none" w:sz="0" w:space="0" w:color="auto"/>
        <w:bottom w:val="none" w:sz="0" w:space="0" w:color="auto"/>
        <w:right w:val="none" w:sz="0" w:space="0" w:color="auto"/>
      </w:divBdr>
    </w:div>
    <w:div w:id="1765032794">
      <w:bodyDiv w:val="1"/>
      <w:marLeft w:val="0"/>
      <w:marRight w:val="0"/>
      <w:marTop w:val="0"/>
      <w:marBottom w:val="0"/>
      <w:divBdr>
        <w:top w:val="none" w:sz="0" w:space="0" w:color="auto"/>
        <w:left w:val="none" w:sz="0" w:space="0" w:color="auto"/>
        <w:bottom w:val="none" w:sz="0" w:space="0" w:color="auto"/>
        <w:right w:val="none" w:sz="0" w:space="0" w:color="auto"/>
      </w:divBdr>
    </w:div>
    <w:div w:id="1771200190">
      <w:bodyDiv w:val="1"/>
      <w:marLeft w:val="0"/>
      <w:marRight w:val="0"/>
      <w:marTop w:val="0"/>
      <w:marBottom w:val="0"/>
      <w:divBdr>
        <w:top w:val="none" w:sz="0" w:space="0" w:color="auto"/>
        <w:left w:val="none" w:sz="0" w:space="0" w:color="auto"/>
        <w:bottom w:val="none" w:sz="0" w:space="0" w:color="auto"/>
        <w:right w:val="none" w:sz="0" w:space="0" w:color="auto"/>
      </w:divBdr>
    </w:div>
    <w:div w:id="1785418401">
      <w:bodyDiv w:val="1"/>
      <w:marLeft w:val="0"/>
      <w:marRight w:val="0"/>
      <w:marTop w:val="0"/>
      <w:marBottom w:val="0"/>
      <w:divBdr>
        <w:top w:val="none" w:sz="0" w:space="0" w:color="auto"/>
        <w:left w:val="none" w:sz="0" w:space="0" w:color="auto"/>
        <w:bottom w:val="none" w:sz="0" w:space="0" w:color="auto"/>
        <w:right w:val="none" w:sz="0" w:space="0" w:color="auto"/>
      </w:divBdr>
    </w:div>
    <w:div w:id="1788349258">
      <w:bodyDiv w:val="1"/>
      <w:marLeft w:val="0"/>
      <w:marRight w:val="0"/>
      <w:marTop w:val="0"/>
      <w:marBottom w:val="0"/>
      <w:divBdr>
        <w:top w:val="none" w:sz="0" w:space="0" w:color="auto"/>
        <w:left w:val="none" w:sz="0" w:space="0" w:color="auto"/>
        <w:bottom w:val="none" w:sz="0" w:space="0" w:color="auto"/>
        <w:right w:val="none" w:sz="0" w:space="0" w:color="auto"/>
      </w:divBdr>
    </w:div>
    <w:div w:id="1799831921">
      <w:bodyDiv w:val="1"/>
      <w:marLeft w:val="0"/>
      <w:marRight w:val="0"/>
      <w:marTop w:val="0"/>
      <w:marBottom w:val="0"/>
      <w:divBdr>
        <w:top w:val="none" w:sz="0" w:space="0" w:color="auto"/>
        <w:left w:val="none" w:sz="0" w:space="0" w:color="auto"/>
        <w:bottom w:val="none" w:sz="0" w:space="0" w:color="auto"/>
        <w:right w:val="none" w:sz="0" w:space="0" w:color="auto"/>
      </w:divBdr>
    </w:div>
    <w:div w:id="1802768580">
      <w:bodyDiv w:val="1"/>
      <w:marLeft w:val="0"/>
      <w:marRight w:val="0"/>
      <w:marTop w:val="0"/>
      <w:marBottom w:val="0"/>
      <w:divBdr>
        <w:top w:val="none" w:sz="0" w:space="0" w:color="auto"/>
        <w:left w:val="none" w:sz="0" w:space="0" w:color="auto"/>
        <w:bottom w:val="none" w:sz="0" w:space="0" w:color="auto"/>
        <w:right w:val="none" w:sz="0" w:space="0" w:color="auto"/>
      </w:divBdr>
    </w:div>
    <w:div w:id="1806004954">
      <w:bodyDiv w:val="1"/>
      <w:marLeft w:val="0"/>
      <w:marRight w:val="0"/>
      <w:marTop w:val="0"/>
      <w:marBottom w:val="0"/>
      <w:divBdr>
        <w:top w:val="none" w:sz="0" w:space="0" w:color="auto"/>
        <w:left w:val="none" w:sz="0" w:space="0" w:color="auto"/>
        <w:bottom w:val="none" w:sz="0" w:space="0" w:color="auto"/>
        <w:right w:val="none" w:sz="0" w:space="0" w:color="auto"/>
      </w:divBdr>
    </w:div>
    <w:div w:id="1806462646">
      <w:bodyDiv w:val="1"/>
      <w:marLeft w:val="0"/>
      <w:marRight w:val="0"/>
      <w:marTop w:val="0"/>
      <w:marBottom w:val="0"/>
      <w:divBdr>
        <w:top w:val="none" w:sz="0" w:space="0" w:color="auto"/>
        <w:left w:val="none" w:sz="0" w:space="0" w:color="auto"/>
        <w:bottom w:val="none" w:sz="0" w:space="0" w:color="auto"/>
        <w:right w:val="none" w:sz="0" w:space="0" w:color="auto"/>
      </w:divBdr>
    </w:div>
    <w:div w:id="1807812587">
      <w:bodyDiv w:val="1"/>
      <w:marLeft w:val="0"/>
      <w:marRight w:val="0"/>
      <w:marTop w:val="0"/>
      <w:marBottom w:val="0"/>
      <w:divBdr>
        <w:top w:val="none" w:sz="0" w:space="0" w:color="auto"/>
        <w:left w:val="none" w:sz="0" w:space="0" w:color="auto"/>
        <w:bottom w:val="none" w:sz="0" w:space="0" w:color="auto"/>
        <w:right w:val="none" w:sz="0" w:space="0" w:color="auto"/>
      </w:divBdr>
    </w:div>
    <w:div w:id="1812019657">
      <w:bodyDiv w:val="1"/>
      <w:marLeft w:val="0"/>
      <w:marRight w:val="0"/>
      <w:marTop w:val="0"/>
      <w:marBottom w:val="0"/>
      <w:divBdr>
        <w:top w:val="none" w:sz="0" w:space="0" w:color="auto"/>
        <w:left w:val="none" w:sz="0" w:space="0" w:color="auto"/>
        <w:bottom w:val="none" w:sz="0" w:space="0" w:color="auto"/>
        <w:right w:val="none" w:sz="0" w:space="0" w:color="auto"/>
      </w:divBdr>
    </w:div>
    <w:div w:id="1812675010">
      <w:bodyDiv w:val="1"/>
      <w:marLeft w:val="0"/>
      <w:marRight w:val="0"/>
      <w:marTop w:val="0"/>
      <w:marBottom w:val="0"/>
      <w:divBdr>
        <w:top w:val="none" w:sz="0" w:space="0" w:color="auto"/>
        <w:left w:val="none" w:sz="0" w:space="0" w:color="auto"/>
        <w:bottom w:val="none" w:sz="0" w:space="0" w:color="auto"/>
        <w:right w:val="none" w:sz="0" w:space="0" w:color="auto"/>
      </w:divBdr>
    </w:div>
    <w:div w:id="1813519392">
      <w:bodyDiv w:val="1"/>
      <w:marLeft w:val="0"/>
      <w:marRight w:val="0"/>
      <w:marTop w:val="0"/>
      <w:marBottom w:val="0"/>
      <w:divBdr>
        <w:top w:val="none" w:sz="0" w:space="0" w:color="auto"/>
        <w:left w:val="none" w:sz="0" w:space="0" w:color="auto"/>
        <w:bottom w:val="none" w:sz="0" w:space="0" w:color="auto"/>
        <w:right w:val="none" w:sz="0" w:space="0" w:color="auto"/>
      </w:divBdr>
    </w:div>
    <w:div w:id="1828785780">
      <w:bodyDiv w:val="1"/>
      <w:marLeft w:val="0"/>
      <w:marRight w:val="0"/>
      <w:marTop w:val="0"/>
      <w:marBottom w:val="0"/>
      <w:divBdr>
        <w:top w:val="none" w:sz="0" w:space="0" w:color="auto"/>
        <w:left w:val="none" w:sz="0" w:space="0" w:color="auto"/>
        <w:bottom w:val="none" w:sz="0" w:space="0" w:color="auto"/>
        <w:right w:val="none" w:sz="0" w:space="0" w:color="auto"/>
      </w:divBdr>
    </w:div>
    <w:div w:id="1829326545">
      <w:bodyDiv w:val="1"/>
      <w:marLeft w:val="0"/>
      <w:marRight w:val="0"/>
      <w:marTop w:val="0"/>
      <w:marBottom w:val="0"/>
      <w:divBdr>
        <w:top w:val="none" w:sz="0" w:space="0" w:color="auto"/>
        <w:left w:val="none" w:sz="0" w:space="0" w:color="auto"/>
        <w:bottom w:val="none" w:sz="0" w:space="0" w:color="auto"/>
        <w:right w:val="none" w:sz="0" w:space="0" w:color="auto"/>
      </w:divBdr>
    </w:div>
    <w:div w:id="1833330850">
      <w:bodyDiv w:val="1"/>
      <w:marLeft w:val="0"/>
      <w:marRight w:val="0"/>
      <w:marTop w:val="0"/>
      <w:marBottom w:val="0"/>
      <w:divBdr>
        <w:top w:val="none" w:sz="0" w:space="0" w:color="auto"/>
        <w:left w:val="none" w:sz="0" w:space="0" w:color="auto"/>
        <w:bottom w:val="none" w:sz="0" w:space="0" w:color="auto"/>
        <w:right w:val="none" w:sz="0" w:space="0" w:color="auto"/>
      </w:divBdr>
    </w:div>
    <w:div w:id="1835025660">
      <w:bodyDiv w:val="1"/>
      <w:marLeft w:val="0"/>
      <w:marRight w:val="0"/>
      <w:marTop w:val="0"/>
      <w:marBottom w:val="0"/>
      <w:divBdr>
        <w:top w:val="none" w:sz="0" w:space="0" w:color="auto"/>
        <w:left w:val="none" w:sz="0" w:space="0" w:color="auto"/>
        <w:bottom w:val="none" w:sz="0" w:space="0" w:color="auto"/>
        <w:right w:val="none" w:sz="0" w:space="0" w:color="auto"/>
      </w:divBdr>
    </w:div>
    <w:div w:id="1837499355">
      <w:bodyDiv w:val="1"/>
      <w:marLeft w:val="0"/>
      <w:marRight w:val="0"/>
      <w:marTop w:val="0"/>
      <w:marBottom w:val="0"/>
      <w:divBdr>
        <w:top w:val="none" w:sz="0" w:space="0" w:color="auto"/>
        <w:left w:val="none" w:sz="0" w:space="0" w:color="auto"/>
        <w:bottom w:val="none" w:sz="0" w:space="0" w:color="auto"/>
        <w:right w:val="none" w:sz="0" w:space="0" w:color="auto"/>
      </w:divBdr>
    </w:div>
    <w:div w:id="1839536722">
      <w:bodyDiv w:val="1"/>
      <w:marLeft w:val="0"/>
      <w:marRight w:val="0"/>
      <w:marTop w:val="0"/>
      <w:marBottom w:val="0"/>
      <w:divBdr>
        <w:top w:val="none" w:sz="0" w:space="0" w:color="auto"/>
        <w:left w:val="none" w:sz="0" w:space="0" w:color="auto"/>
        <w:bottom w:val="none" w:sz="0" w:space="0" w:color="auto"/>
        <w:right w:val="none" w:sz="0" w:space="0" w:color="auto"/>
      </w:divBdr>
    </w:div>
    <w:div w:id="1842692374">
      <w:bodyDiv w:val="1"/>
      <w:marLeft w:val="0"/>
      <w:marRight w:val="0"/>
      <w:marTop w:val="0"/>
      <w:marBottom w:val="0"/>
      <w:divBdr>
        <w:top w:val="none" w:sz="0" w:space="0" w:color="auto"/>
        <w:left w:val="none" w:sz="0" w:space="0" w:color="auto"/>
        <w:bottom w:val="none" w:sz="0" w:space="0" w:color="auto"/>
        <w:right w:val="none" w:sz="0" w:space="0" w:color="auto"/>
      </w:divBdr>
    </w:div>
    <w:div w:id="1842967155">
      <w:bodyDiv w:val="1"/>
      <w:marLeft w:val="0"/>
      <w:marRight w:val="0"/>
      <w:marTop w:val="0"/>
      <w:marBottom w:val="0"/>
      <w:divBdr>
        <w:top w:val="none" w:sz="0" w:space="0" w:color="auto"/>
        <w:left w:val="none" w:sz="0" w:space="0" w:color="auto"/>
        <w:bottom w:val="none" w:sz="0" w:space="0" w:color="auto"/>
        <w:right w:val="none" w:sz="0" w:space="0" w:color="auto"/>
      </w:divBdr>
    </w:div>
    <w:div w:id="1845853290">
      <w:bodyDiv w:val="1"/>
      <w:marLeft w:val="0"/>
      <w:marRight w:val="0"/>
      <w:marTop w:val="0"/>
      <w:marBottom w:val="0"/>
      <w:divBdr>
        <w:top w:val="none" w:sz="0" w:space="0" w:color="auto"/>
        <w:left w:val="none" w:sz="0" w:space="0" w:color="auto"/>
        <w:bottom w:val="none" w:sz="0" w:space="0" w:color="auto"/>
        <w:right w:val="none" w:sz="0" w:space="0" w:color="auto"/>
      </w:divBdr>
    </w:div>
    <w:div w:id="1846748545">
      <w:bodyDiv w:val="1"/>
      <w:marLeft w:val="0"/>
      <w:marRight w:val="0"/>
      <w:marTop w:val="0"/>
      <w:marBottom w:val="0"/>
      <w:divBdr>
        <w:top w:val="none" w:sz="0" w:space="0" w:color="auto"/>
        <w:left w:val="none" w:sz="0" w:space="0" w:color="auto"/>
        <w:bottom w:val="none" w:sz="0" w:space="0" w:color="auto"/>
        <w:right w:val="none" w:sz="0" w:space="0" w:color="auto"/>
      </w:divBdr>
    </w:div>
    <w:div w:id="1849362896">
      <w:bodyDiv w:val="1"/>
      <w:marLeft w:val="0"/>
      <w:marRight w:val="0"/>
      <w:marTop w:val="0"/>
      <w:marBottom w:val="0"/>
      <w:divBdr>
        <w:top w:val="none" w:sz="0" w:space="0" w:color="auto"/>
        <w:left w:val="none" w:sz="0" w:space="0" w:color="auto"/>
        <w:bottom w:val="none" w:sz="0" w:space="0" w:color="auto"/>
        <w:right w:val="none" w:sz="0" w:space="0" w:color="auto"/>
      </w:divBdr>
    </w:div>
    <w:div w:id="1851486699">
      <w:bodyDiv w:val="1"/>
      <w:marLeft w:val="0"/>
      <w:marRight w:val="0"/>
      <w:marTop w:val="0"/>
      <w:marBottom w:val="0"/>
      <w:divBdr>
        <w:top w:val="none" w:sz="0" w:space="0" w:color="auto"/>
        <w:left w:val="none" w:sz="0" w:space="0" w:color="auto"/>
        <w:bottom w:val="none" w:sz="0" w:space="0" w:color="auto"/>
        <w:right w:val="none" w:sz="0" w:space="0" w:color="auto"/>
      </w:divBdr>
    </w:div>
    <w:div w:id="1854104184">
      <w:bodyDiv w:val="1"/>
      <w:marLeft w:val="0"/>
      <w:marRight w:val="0"/>
      <w:marTop w:val="0"/>
      <w:marBottom w:val="0"/>
      <w:divBdr>
        <w:top w:val="none" w:sz="0" w:space="0" w:color="auto"/>
        <w:left w:val="none" w:sz="0" w:space="0" w:color="auto"/>
        <w:bottom w:val="none" w:sz="0" w:space="0" w:color="auto"/>
        <w:right w:val="none" w:sz="0" w:space="0" w:color="auto"/>
      </w:divBdr>
    </w:div>
    <w:div w:id="1855724159">
      <w:bodyDiv w:val="1"/>
      <w:marLeft w:val="0"/>
      <w:marRight w:val="0"/>
      <w:marTop w:val="0"/>
      <w:marBottom w:val="0"/>
      <w:divBdr>
        <w:top w:val="none" w:sz="0" w:space="0" w:color="auto"/>
        <w:left w:val="none" w:sz="0" w:space="0" w:color="auto"/>
        <w:bottom w:val="none" w:sz="0" w:space="0" w:color="auto"/>
        <w:right w:val="none" w:sz="0" w:space="0" w:color="auto"/>
      </w:divBdr>
    </w:div>
    <w:div w:id="1857110643">
      <w:bodyDiv w:val="1"/>
      <w:marLeft w:val="0"/>
      <w:marRight w:val="0"/>
      <w:marTop w:val="0"/>
      <w:marBottom w:val="0"/>
      <w:divBdr>
        <w:top w:val="none" w:sz="0" w:space="0" w:color="auto"/>
        <w:left w:val="none" w:sz="0" w:space="0" w:color="auto"/>
        <w:bottom w:val="none" w:sz="0" w:space="0" w:color="auto"/>
        <w:right w:val="none" w:sz="0" w:space="0" w:color="auto"/>
      </w:divBdr>
    </w:div>
    <w:div w:id="1857959348">
      <w:bodyDiv w:val="1"/>
      <w:marLeft w:val="0"/>
      <w:marRight w:val="0"/>
      <w:marTop w:val="0"/>
      <w:marBottom w:val="0"/>
      <w:divBdr>
        <w:top w:val="none" w:sz="0" w:space="0" w:color="auto"/>
        <w:left w:val="none" w:sz="0" w:space="0" w:color="auto"/>
        <w:bottom w:val="none" w:sz="0" w:space="0" w:color="auto"/>
        <w:right w:val="none" w:sz="0" w:space="0" w:color="auto"/>
      </w:divBdr>
    </w:div>
    <w:div w:id="1858693600">
      <w:bodyDiv w:val="1"/>
      <w:marLeft w:val="0"/>
      <w:marRight w:val="0"/>
      <w:marTop w:val="0"/>
      <w:marBottom w:val="0"/>
      <w:divBdr>
        <w:top w:val="none" w:sz="0" w:space="0" w:color="auto"/>
        <w:left w:val="none" w:sz="0" w:space="0" w:color="auto"/>
        <w:bottom w:val="none" w:sz="0" w:space="0" w:color="auto"/>
        <w:right w:val="none" w:sz="0" w:space="0" w:color="auto"/>
      </w:divBdr>
    </w:div>
    <w:div w:id="1868715464">
      <w:bodyDiv w:val="1"/>
      <w:marLeft w:val="0"/>
      <w:marRight w:val="0"/>
      <w:marTop w:val="0"/>
      <w:marBottom w:val="0"/>
      <w:divBdr>
        <w:top w:val="none" w:sz="0" w:space="0" w:color="auto"/>
        <w:left w:val="none" w:sz="0" w:space="0" w:color="auto"/>
        <w:bottom w:val="none" w:sz="0" w:space="0" w:color="auto"/>
        <w:right w:val="none" w:sz="0" w:space="0" w:color="auto"/>
      </w:divBdr>
    </w:div>
    <w:div w:id="1870532555">
      <w:bodyDiv w:val="1"/>
      <w:marLeft w:val="0"/>
      <w:marRight w:val="0"/>
      <w:marTop w:val="0"/>
      <w:marBottom w:val="0"/>
      <w:divBdr>
        <w:top w:val="none" w:sz="0" w:space="0" w:color="auto"/>
        <w:left w:val="none" w:sz="0" w:space="0" w:color="auto"/>
        <w:bottom w:val="none" w:sz="0" w:space="0" w:color="auto"/>
        <w:right w:val="none" w:sz="0" w:space="0" w:color="auto"/>
      </w:divBdr>
    </w:div>
    <w:div w:id="1871916997">
      <w:bodyDiv w:val="1"/>
      <w:marLeft w:val="0"/>
      <w:marRight w:val="0"/>
      <w:marTop w:val="0"/>
      <w:marBottom w:val="0"/>
      <w:divBdr>
        <w:top w:val="none" w:sz="0" w:space="0" w:color="auto"/>
        <w:left w:val="none" w:sz="0" w:space="0" w:color="auto"/>
        <w:bottom w:val="none" w:sz="0" w:space="0" w:color="auto"/>
        <w:right w:val="none" w:sz="0" w:space="0" w:color="auto"/>
      </w:divBdr>
    </w:div>
    <w:div w:id="1881354055">
      <w:bodyDiv w:val="1"/>
      <w:marLeft w:val="0"/>
      <w:marRight w:val="0"/>
      <w:marTop w:val="0"/>
      <w:marBottom w:val="0"/>
      <w:divBdr>
        <w:top w:val="none" w:sz="0" w:space="0" w:color="auto"/>
        <w:left w:val="none" w:sz="0" w:space="0" w:color="auto"/>
        <w:bottom w:val="none" w:sz="0" w:space="0" w:color="auto"/>
        <w:right w:val="none" w:sz="0" w:space="0" w:color="auto"/>
      </w:divBdr>
    </w:div>
    <w:div w:id="1884367892">
      <w:bodyDiv w:val="1"/>
      <w:marLeft w:val="0"/>
      <w:marRight w:val="0"/>
      <w:marTop w:val="0"/>
      <w:marBottom w:val="0"/>
      <w:divBdr>
        <w:top w:val="none" w:sz="0" w:space="0" w:color="auto"/>
        <w:left w:val="none" w:sz="0" w:space="0" w:color="auto"/>
        <w:bottom w:val="none" w:sz="0" w:space="0" w:color="auto"/>
        <w:right w:val="none" w:sz="0" w:space="0" w:color="auto"/>
      </w:divBdr>
    </w:div>
    <w:div w:id="1887789936">
      <w:bodyDiv w:val="1"/>
      <w:marLeft w:val="0"/>
      <w:marRight w:val="0"/>
      <w:marTop w:val="0"/>
      <w:marBottom w:val="0"/>
      <w:divBdr>
        <w:top w:val="none" w:sz="0" w:space="0" w:color="auto"/>
        <w:left w:val="none" w:sz="0" w:space="0" w:color="auto"/>
        <w:bottom w:val="none" w:sz="0" w:space="0" w:color="auto"/>
        <w:right w:val="none" w:sz="0" w:space="0" w:color="auto"/>
      </w:divBdr>
    </w:div>
    <w:div w:id="1888297036">
      <w:bodyDiv w:val="1"/>
      <w:marLeft w:val="0"/>
      <w:marRight w:val="0"/>
      <w:marTop w:val="0"/>
      <w:marBottom w:val="0"/>
      <w:divBdr>
        <w:top w:val="none" w:sz="0" w:space="0" w:color="auto"/>
        <w:left w:val="none" w:sz="0" w:space="0" w:color="auto"/>
        <w:bottom w:val="none" w:sz="0" w:space="0" w:color="auto"/>
        <w:right w:val="none" w:sz="0" w:space="0" w:color="auto"/>
      </w:divBdr>
    </w:div>
    <w:div w:id="1891529440">
      <w:bodyDiv w:val="1"/>
      <w:marLeft w:val="0"/>
      <w:marRight w:val="0"/>
      <w:marTop w:val="0"/>
      <w:marBottom w:val="0"/>
      <w:divBdr>
        <w:top w:val="none" w:sz="0" w:space="0" w:color="auto"/>
        <w:left w:val="none" w:sz="0" w:space="0" w:color="auto"/>
        <w:bottom w:val="none" w:sz="0" w:space="0" w:color="auto"/>
        <w:right w:val="none" w:sz="0" w:space="0" w:color="auto"/>
      </w:divBdr>
    </w:div>
    <w:div w:id="1900742737">
      <w:bodyDiv w:val="1"/>
      <w:marLeft w:val="0"/>
      <w:marRight w:val="0"/>
      <w:marTop w:val="0"/>
      <w:marBottom w:val="0"/>
      <w:divBdr>
        <w:top w:val="none" w:sz="0" w:space="0" w:color="auto"/>
        <w:left w:val="none" w:sz="0" w:space="0" w:color="auto"/>
        <w:bottom w:val="none" w:sz="0" w:space="0" w:color="auto"/>
        <w:right w:val="none" w:sz="0" w:space="0" w:color="auto"/>
      </w:divBdr>
    </w:div>
    <w:div w:id="1905985222">
      <w:bodyDiv w:val="1"/>
      <w:marLeft w:val="0"/>
      <w:marRight w:val="0"/>
      <w:marTop w:val="0"/>
      <w:marBottom w:val="0"/>
      <w:divBdr>
        <w:top w:val="none" w:sz="0" w:space="0" w:color="auto"/>
        <w:left w:val="none" w:sz="0" w:space="0" w:color="auto"/>
        <w:bottom w:val="none" w:sz="0" w:space="0" w:color="auto"/>
        <w:right w:val="none" w:sz="0" w:space="0" w:color="auto"/>
      </w:divBdr>
    </w:div>
    <w:div w:id="1907521938">
      <w:bodyDiv w:val="1"/>
      <w:marLeft w:val="0"/>
      <w:marRight w:val="0"/>
      <w:marTop w:val="0"/>
      <w:marBottom w:val="0"/>
      <w:divBdr>
        <w:top w:val="none" w:sz="0" w:space="0" w:color="auto"/>
        <w:left w:val="none" w:sz="0" w:space="0" w:color="auto"/>
        <w:bottom w:val="none" w:sz="0" w:space="0" w:color="auto"/>
        <w:right w:val="none" w:sz="0" w:space="0" w:color="auto"/>
      </w:divBdr>
    </w:div>
    <w:div w:id="1911771610">
      <w:bodyDiv w:val="1"/>
      <w:marLeft w:val="0"/>
      <w:marRight w:val="0"/>
      <w:marTop w:val="0"/>
      <w:marBottom w:val="0"/>
      <w:divBdr>
        <w:top w:val="none" w:sz="0" w:space="0" w:color="auto"/>
        <w:left w:val="none" w:sz="0" w:space="0" w:color="auto"/>
        <w:bottom w:val="none" w:sz="0" w:space="0" w:color="auto"/>
        <w:right w:val="none" w:sz="0" w:space="0" w:color="auto"/>
      </w:divBdr>
    </w:div>
    <w:div w:id="1913349319">
      <w:bodyDiv w:val="1"/>
      <w:marLeft w:val="0"/>
      <w:marRight w:val="0"/>
      <w:marTop w:val="0"/>
      <w:marBottom w:val="0"/>
      <w:divBdr>
        <w:top w:val="none" w:sz="0" w:space="0" w:color="auto"/>
        <w:left w:val="none" w:sz="0" w:space="0" w:color="auto"/>
        <w:bottom w:val="none" w:sz="0" w:space="0" w:color="auto"/>
        <w:right w:val="none" w:sz="0" w:space="0" w:color="auto"/>
      </w:divBdr>
    </w:div>
    <w:div w:id="1913656715">
      <w:bodyDiv w:val="1"/>
      <w:marLeft w:val="0"/>
      <w:marRight w:val="0"/>
      <w:marTop w:val="0"/>
      <w:marBottom w:val="0"/>
      <w:divBdr>
        <w:top w:val="none" w:sz="0" w:space="0" w:color="auto"/>
        <w:left w:val="none" w:sz="0" w:space="0" w:color="auto"/>
        <w:bottom w:val="none" w:sz="0" w:space="0" w:color="auto"/>
        <w:right w:val="none" w:sz="0" w:space="0" w:color="auto"/>
      </w:divBdr>
    </w:div>
    <w:div w:id="1916623612">
      <w:bodyDiv w:val="1"/>
      <w:marLeft w:val="0"/>
      <w:marRight w:val="0"/>
      <w:marTop w:val="0"/>
      <w:marBottom w:val="0"/>
      <w:divBdr>
        <w:top w:val="none" w:sz="0" w:space="0" w:color="auto"/>
        <w:left w:val="none" w:sz="0" w:space="0" w:color="auto"/>
        <w:bottom w:val="none" w:sz="0" w:space="0" w:color="auto"/>
        <w:right w:val="none" w:sz="0" w:space="0" w:color="auto"/>
      </w:divBdr>
    </w:div>
    <w:div w:id="1919561447">
      <w:bodyDiv w:val="1"/>
      <w:marLeft w:val="0"/>
      <w:marRight w:val="0"/>
      <w:marTop w:val="0"/>
      <w:marBottom w:val="0"/>
      <w:divBdr>
        <w:top w:val="none" w:sz="0" w:space="0" w:color="auto"/>
        <w:left w:val="none" w:sz="0" w:space="0" w:color="auto"/>
        <w:bottom w:val="none" w:sz="0" w:space="0" w:color="auto"/>
        <w:right w:val="none" w:sz="0" w:space="0" w:color="auto"/>
      </w:divBdr>
    </w:div>
    <w:div w:id="1925795457">
      <w:bodyDiv w:val="1"/>
      <w:marLeft w:val="0"/>
      <w:marRight w:val="0"/>
      <w:marTop w:val="0"/>
      <w:marBottom w:val="0"/>
      <w:divBdr>
        <w:top w:val="none" w:sz="0" w:space="0" w:color="auto"/>
        <w:left w:val="none" w:sz="0" w:space="0" w:color="auto"/>
        <w:bottom w:val="none" w:sz="0" w:space="0" w:color="auto"/>
        <w:right w:val="none" w:sz="0" w:space="0" w:color="auto"/>
      </w:divBdr>
    </w:div>
    <w:div w:id="1928541557">
      <w:bodyDiv w:val="1"/>
      <w:marLeft w:val="0"/>
      <w:marRight w:val="0"/>
      <w:marTop w:val="0"/>
      <w:marBottom w:val="0"/>
      <w:divBdr>
        <w:top w:val="none" w:sz="0" w:space="0" w:color="auto"/>
        <w:left w:val="none" w:sz="0" w:space="0" w:color="auto"/>
        <w:bottom w:val="none" w:sz="0" w:space="0" w:color="auto"/>
        <w:right w:val="none" w:sz="0" w:space="0" w:color="auto"/>
      </w:divBdr>
    </w:div>
    <w:div w:id="1939213266">
      <w:bodyDiv w:val="1"/>
      <w:marLeft w:val="0"/>
      <w:marRight w:val="0"/>
      <w:marTop w:val="0"/>
      <w:marBottom w:val="0"/>
      <w:divBdr>
        <w:top w:val="none" w:sz="0" w:space="0" w:color="auto"/>
        <w:left w:val="none" w:sz="0" w:space="0" w:color="auto"/>
        <w:bottom w:val="none" w:sz="0" w:space="0" w:color="auto"/>
        <w:right w:val="none" w:sz="0" w:space="0" w:color="auto"/>
      </w:divBdr>
    </w:div>
    <w:div w:id="1941453435">
      <w:bodyDiv w:val="1"/>
      <w:marLeft w:val="0"/>
      <w:marRight w:val="0"/>
      <w:marTop w:val="0"/>
      <w:marBottom w:val="0"/>
      <w:divBdr>
        <w:top w:val="none" w:sz="0" w:space="0" w:color="auto"/>
        <w:left w:val="none" w:sz="0" w:space="0" w:color="auto"/>
        <w:bottom w:val="none" w:sz="0" w:space="0" w:color="auto"/>
        <w:right w:val="none" w:sz="0" w:space="0" w:color="auto"/>
      </w:divBdr>
    </w:div>
    <w:div w:id="1943998909">
      <w:bodyDiv w:val="1"/>
      <w:marLeft w:val="0"/>
      <w:marRight w:val="0"/>
      <w:marTop w:val="0"/>
      <w:marBottom w:val="0"/>
      <w:divBdr>
        <w:top w:val="none" w:sz="0" w:space="0" w:color="auto"/>
        <w:left w:val="none" w:sz="0" w:space="0" w:color="auto"/>
        <w:bottom w:val="none" w:sz="0" w:space="0" w:color="auto"/>
        <w:right w:val="none" w:sz="0" w:space="0" w:color="auto"/>
      </w:divBdr>
    </w:div>
    <w:div w:id="1945918187">
      <w:bodyDiv w:val="1"/>
      <w:marLeft w:val="0"/>
      <w:marRight w:val="0"/>
      <w:marTop w:val="0"/>
      <w:marBottom w:val="0"/>
      <w:divBdr>
        <w:top w:val="none" w:sz="0" w:space="0" w:color="auto"/>
        <w:left w:val="none" w:sz="0" w:space="0" w:color="auto"/>
        <w:bottom w:val="none" w:sz="0" w:space="0" w:color="auto"/>
        <w:right w:val="none" w:sz="0" w:space="0" w:color="auto"/>
      </w:divBdr>
    </w:div>
    <w:div w:id="1946845029">
      <w:bodyDiv w:val="1"/>
      <w:marLeft w:val="0"/>
      <w:marRight w:val="0"/>
      <w:marTop w:val="0"/>
      <w:marBottom w:val="0"/>
      <w:divBdr>
        <w:top w:val="none" w:sz="0" w:space="0" w:color="auto"/>
        <w:left w:val="none" w:sz="0" w:space="0" w:color="auto"/>
        <w:bottom w:val="none" w:sz="0" w:space="0" w:color="auto"/>
        <w:right w:val="none" w:sz="0" w:space="0" w:color="auto"/>
      </w:divBdr>
    </w:div>
    <w:div w:id="1948734622">
      <w:bodyDiv w:val="1"/>
      <w:marLeft w:val="0"/>
      <w:marRight w:val="0"/>
      <w:marTop w:val="0"/>
      <w:marBottom w:val="0"/>
      <w:divBdr>
        <w:top w:val="none" w:sz="0" w:space="0" w:color="auto"/>
        <w:left w:val="none" w:sz="0" w:space="0" w:color="auto"/>
        <w:bottom w:val="none" w:sz="0" w:space="0" w:color="auto"/>
        <w:right w:val="none" w:sz="0" w:space="0" w:color="auto"/>
      </w:divBdr>
    </w:div>
    <w:div w:id="1950576281">
      <w:bodyDiv w:val="1"/>
      <w:marLeft w:val="0"/>
      <w:marRight w:val="0"/>
      <w:marTop w:val="0"/>
      <w:marBottom w:val="0"/>
      <w:divBdr>
        <w:top w:val="none" w:sz="0" w:space="0" w:color="auto"/>
        <w:left w:val="none" w:sz="0" w:space="0" w:color="auto"/>
        <w:bottom w:val="none" w:sz="0" w:space="0" w:color="auto"/>
        <w:right w:val="none" w:sz="0" w:space="0" w:color="auto"/>
      </w:divBdr>
    </w:div>
    <w:div w:id="1952201411">
      <w:bodyDiv w:val="1"/>
      <w:marLeft w:val="0"/>
      <w:marRight w:val="0"/>
      <w:marTop w:val="0"/>
      <w:marBottom w:val="0"/>
      <w:divBdr>
        <w:top w:val="none" w:sz="0" w:space="0" w:color="auto"/>
        <w:left w:val="none" w:sz="0" w:space="0" w:color="auto"/>
        <w:bottom w:val="none" w:sz="0" w:space="0" w:color="auto"/>
        <w:right w:val="none" w:sz="0" w:space="0" w:color="auto"/>
      </w:divBdr>
    </w:div>
    <w:div w:id="1960910066">
      <w:bodyDiv w:val="1"/>
      <w:marLeft w:val="0"/>
      <w:marRight w:val="0"/>
      <w:marTop w:val="0"/>
      <w:marBottom w:val="0"/>
      <w:divBdr>
        <w:top w:val="none" w:sz="0" w:space="0" w:color="auto"/>
        <w:left w:val="none" w:sz="0" w:space="0" w:color="auto"/>
        <w:bottom w:val="none" w:sz="0" w:space="0" w:color="auto"/>
        <w:right w:val="none" w:sz="0" w:space="0" w:color="auto"/>
      </w:divBdr>
    </w:div>
    <w:div w:id="1961300099">
      <w:bodyDiv w:val="1"/>
      <w:marLeft w:val="0"/>
      <w:marRight w:val="0"/>
      <w:marTop w:val="0"/>
      <w:marBottom w:val="0"/>
      <w:divBdr>
        <w:top w:val="none" w:sz="0" w:space="0" w:color="auto"/>
        <w:left w:val="none" w:sz="0" w:space="0" w:color="auto"/>
        <w:bottom w:val="none" w:sz="0" w:space="0" w:color="auto"/>
        <w:right w:val="none" w:sz="0" w:space="0" w:color="auto"/>
      </w:divBdr>
    </w:div>
    <w:div w:id="1968510143">
      <w:bodyDiv w:val="1"/>
      <w:marLeft w:val="0"/>
      <w:marRight w:val="0"/>
      <w:marTop w:val="0"/>
      <w:marBottom w:val="0"/>
      <w:divBdr>
        <w:top w:val="none" w:sz="0" w:space="0" w:color="auto"/>
        <w:left w:val="none" w:sz="0" w:space="0" w:color="auto"/>
        <w:bottom w:val="none" w:sz="0" w:space="0" w:color="auto"/>
        <w:right w:val="none" w:sz="0" w:space="0" w:color="auto"/>
      </w:divBdr>
    </w:div>
    <w:div w:id="1971475538">
      <w:bodyDiv w:val="1"/>
      <w:marLeft w:val="0"/>
      <w:marRight w:val="0"/>
      <w:marTop w:val="0"/>
      <w:marBottom w:val="0"/>
      <w:divBdr>
        <w:top w:val="none" w:sz="0" w:space="0" w:color="auto"/>
        <w:left w:val="none" w:sz="0" w:space="0" w:color="auto"/>
        <w:bottom w:val="none" w:sz="0" w:space="0" w:color="auto"/>
        <w:right w:val="none" w:sz="0" w:space="0" w:color="auto"/>
      </w:divBdr>
    </w:div>
    <w:div w:id="1976326679">
      <w:bodyDiv w:val="1"/>
      <w:marLeft w:val="0"/>
      <w:marRight w:val="0"/>
      <w:marTop w:val="0"/>
      <w:marBottom w:val="0"/>
      <w:divBdr>
        <w:top w:val="none" w:sz="0" w:space="0" w:color="auto"/>
        <w:left w:val="none" w:sz="0" w:space="0" w:color="auto"/>
        <w:bottom w:val="none" w:sz="0" w:space="0" w:color="auto"/>
        <w:right w:val="none" w:sz="0" w:space="0" w:color="auto"/>
      </w:divBdr>
    </w:div>
    <w:div w:id="1979264971">
      <w:bodyDiv w:val="1"/>
      <w:marLeft w:val="0"/>
      <w:marRight w:val="0"/>
      <w:marTop w:val="0"/>
      <w:marBottom w:val="0"/>
      <w:divBdr>
        <w:top w:val="none" w:sz="0" w:space="0" w:color="auto"/>
        <w:left w:val="none" w:sz="0" w:space="0" w:color="auto"/>
        <w:bottom w:val="none" w:sz="0" w:space="0" w:color="auto"/>
        <w:right w:val="none" w:sz="0" w:space="0" w:color="auto"/>
      </w:divBdr>
    </w:div>
    <w:div w:id="1980186173">
      <w:bodyDiv w:val="1"/>
      <w:marLeft w:val="0"/>
      <w:marRight w:val="0"/>
      <w:marTop w:val="0"/>
      <w:marBottom w:val="0"/>
      <w:divBdr>
        <w:top w:val="none" w:sz="0" w:space="0" w:color="auto"/>
        <w:left w:val="none" w:sz="0" w:space="0" w:color="auto"/>
        <w:bottom w:val="none" w:sz="0" w:space="0" w:color="auto"/>
        <w:right w:val="none" w:sz="0" w:space="0" w:color="auto"/>
      </w:divBdr>
    </w:div>
    <w:div w:id="1985351736">
      <w:bodyDiv w:val="1"/>
      <w:marLeft w:val="0"/>
      <w:marRight w:val="0"/>
      <w:marTop w:val="0"/>
      <w:marBottom w:val="0"/>
      <w:divBdr>
        <w:top w:val="none" w:sz="0" w:space="0" w:color="auto"/>
        <w:left w:val="none" w:sz="0" w:space="0" w:color="auto"/>
        <w:bottom w:val="none" w:sz="0" w:space="0" w:color="auto"/>
        <w:right w:val="none" w:sz="0" w:space="0" w:color="auto"/>
      </w:divBdr>
    </w:div>
    <w:div w:id="1992828304">
      <w:bodyDiv w:val="1"/>
      <w:marLeft w:val="0"/>
      <w:marRight w:val="0"/>
      <w:marTop w:val="0"/>
      <w:marBottom w:val="0"/>
      <w:divBdr>
        <w:top w:val="none" w:sz="0" w:space="0" w:color="auto"/>
        <w:left w:val="none" w:sz="0" w:space="0" w:color="auto"/>
        <w:bottom w:val="none" w:sz="0" w:space="0" w:color="auto"/>
        <w:right w:val="none" w:sz="0" w:space="0" w:color="auto"/>
      </w:divBdr>
    </w:div>
    <w:div w:id="2001693416">
      <w:bodyDiv w:val="1"/>
      <w:marLeft w:val="0"/>
      <w:marRight w:val="0"/>
      <w:marTop w:val="0"/>
      <w:marBottom w:val="0"/>
      <w:divBdr>
        <w:top w:val="none" w:sz="0" w:space="0" w:color="auto"/>
        <w:left w:val="none" w:sz="0" w:space="0" w:color="auto"/>
        <w:bottom w:val="none" w:sz="0" w:space="0" w:color="auto"/>
        <w:right w:val="none" w:sz="0" w:space="0" w:color="auto"/>
      </w:divBdr>
    </w:div>
    <w:div w:id="2002271452">
      <w:bodyDiv w:val="1"/>
      <w:marLeft w:val="0"/>
      <w:marRight w:val="0"/>
      <w:marTop w:val="0"/>
      <w:marBottom w:val="0"/>
      <w:divBdr>
        <w:top w:val="none" w:sz="0" w:space="0" w:color="auto"/>
        <w:left w:val="none" w:sz="0" w:space="0" w:color="auto"/>
        <w:bottom w:val="none" w:sz="0" w:space="0" w:color="auto"/>
        <w:right w:val="none" w:sz="0" w:space="0" w:color="auto"/>
      </w:divBdr>
    </w:div>
    <w:div w:id="2006280724">
      <w:bodyDiv w:val="1"/>
      <w:marLeft w:val="0"/>
      <w:marRight w:val="0"/>
      <w:marTop w:val="0"/>
      <w:marBottom w:val="0"/>
      <w:divBdr>
        <w:top w:val="none" w:sz="0" w:space="0" w:color="auto"/>
        <w:left w:val="none" w:sz="0" w:space="0" w:color="auto"/>
        <w:bottom w:val="none" w:sz="0" w:space="0" w:color="auto"/>
        <w:right w:val="none" w:sz="0" w:space="0" w:color="auto"/>
      </w:divBdr>
    </w:div>
    <w:div w:id="2006741763">
      <w:bodyDiv w:val="1"/>
      <w:marLeft w:val="0"/>
      <w:marRight w:val="0"/>
      <w:marTop w:val="0"/>
      <w:marBottom w:val="0"/>
      <w:divBdr>
        <w:top w:val="none" w:sz="0" w:space="0" w:color="auto"/>
        <w:left w:val="none" w:sz="0" w:space="0" w:color="auto"/>
        <w:bottom w:val="none" w:sz="0" w:space="0" w:color="auto"/>
        <w:right w:val="none" w:sz="0" w:space="0" w:color="auto"/>
      </w:divBdr>
    </w:div>
    <w:div w:id="2006779914">
      <w:bodyDiv w:val="1"/>
      <w:marLeft w:val="0"/>
      <w:marRight w:val="0"/>
      <w:marTop w:val="0"/>
      <w:marBottom w:val="0"/>
      <w:divBdr>
        <w:top w:val="none" w:sz="0" w:space="0" w:color="auto"/>
        <w:left w:val="none" w:sz="0" w:space="0" w:color="auto"/>
        <w:bottom w:val="none" w:sz="0" w:space="0" w:color="auto"/>
        <w:right w:val="none" w:sz="0" w:space="0" w:color="auto"/>
      </w:divBdr>
    </w:div>
    <w:div w:id="2006932983">
      <w:bodyDiv w:val="1"/>
      <w:marLeft w:val="0"/>
      <w:marRight w:val="0"/>
      <w:marTop w:val="0"/>
      <w:marBottom w:val="0"/>
      <w:divBdr>
        <w:top w:val="none" w:sz="0" w:space="0" w:color="auto"/>
        <w:left w:val="none" w:sz="0" w:space="0" w:color="auto"/>
        <w:bottom w:val="none" w:sz="0" w:space="0" w:color="auto"/>
        <w:right w:val="none" w:sz="0" w:space="0" w:color="auto"/>
      </w:divBdr>
    </w:div>
    <w:div w:id="2008557456">
      <w:bodyDiv w:val="1"/>
      <w:marLeft w:val="0"/>
      <w:marRight w:val="0"/>
      <w:marTop w:val="0"/>
      <w:marBottom w:val="0"/>
      <w:divBdr>
        <w:top w:val="none" w:sz="0" w:space="0" w:color="auto"/>
        <w:left w:val="none" w:sz="0" w:space="0" w:color="auto"/>
        <w:bottom w:val="none" w:sz="0" w:space="0" w:color="auto"/>
        <w:right w:val="none" w:sz="0" w:space="0" w:color="auto"/>
      </w:divBdr>
    </w:div>
    <w:div w:id="2009096021">
      <w:bodyDiv w:val="1"/>
      <w:marLeft w:val="0"/>
      <w:marRight w:val="0"/>
      <w:marTop w:val="0"/>
      <w:marBottom w:val="0"/>
      <w:divBdr>
        <w:top w:val="none" w:sz="0" w:space="0" w:color="auto"/>
        <w:left w:val="none" w:sz="0" w:space="0" w:color="auto"/>
        <w:bottom w:val="none" w:sz="0" w:space="0" w:color="auto"/>
        <w:right w:val="none" w:sz="0" w:space="0" w:color="auto"/>
      </w:divBdr>
    </w:div>
    <w:div w:id="2009819034">
      <w:bodyDiv w:val="1"/>
      <w:marLeft w:val="0"/>
      <w:marRight w:val="0"/>
      <w:marTop w:val="0"/>
      <w:marBottom w:val="0"/>
      <w:divBdr>
        <w:top w:val="none" w:sz="0" w:space="0" w:color="auto"/>
        <w:left w:val="none" w:sz="0" w:space="0" w:color="auto"/>
        <w:bottom w:val="none" w:sz="0" w:space="0" w:color="auto"/>
        <w:right w:val="none" w:sz="0" w:space="0" w:color="auto"/>
      </w:divBdr>
    </w:div>
    <w:div w:id="2015956419">
      <w:bodyDiv w:val="1"/>
      <w:marLeft w:val="0"/>
      <w:marRight w:val="0"/>
      <w:marTop w:val="0"/>
      <w:marBottom w:val="0"/>
      <w:divBdr>
        <w:top w:val="none" w:sz="0" w:space="0" w:color="auto"/>
        <w:left w:val="none" w:sz="0" w:space="0" w:color="auto"/>
        <w:bottom w:val="none" w:sz="0" w:space="0" w:color="auto"/>
        <w:right w:val="none" w:sz="0" w:space="0" w:color="auto"/>
      </w:divBdr>
    </w:div>
    <w:div w:id="2018920343">
      <w:bodyDiv w:val="1"/>
      <w:marLeft w:val="0"/>
      <w:marRight w:val="0"/>
      <w:marTop w:val="0"/>
      <w:marBottom w:val="0"/>
      <w:divBdr>
        <w:top w:val="none" w:sz="0" w:space="0" w:color="auto"/>
        <w:left w:val="none" w:sz="0" w:space="0" w:color="auto"/>
        <w:bottom w:val="none" w:sz="0" w:space="0" w:color="auto"/>
        <w:right w:val="none" w:sz="0" w:space="0" w:color="auto"/>
      </w:divBdr>
    </w:div>
    <w:div w:id="2019695966">
      <w:bodyDiv w:val="1"/>
      <w:marLeft w:val="0"/>
      <w:marRight w:val="0"/>
      <w:marTop w:val="0"/>
      <w:marBottom w:val="0"/>
      <w:divBdr>
        <w:top w:val="none" w:sz="0" w:space="0" w:color="auto"/>
        <w:left w:val="none" w:sz="0" w:space="0" w:color="auto"/>
        <w:bottom w:val="none" w:sz="0" w:space="0" w:color="auto"/>
        <w:right w:val="none" w:sz="0" w:space="0" w:color="auto"/>
      </w:divBdr>
    </w:div>
    <w:div w:id="2020891722">
      <w:bodyDiv w:val="1"/>
      <w:marLeft w:val="0"/>
      <w:marRight w:val="0"/>
      <w:marTop w:val="0"/>
      <w:marBottom w:val="0"/>
      <w:divBdr>
        <w:top w:val="none" w:sz="0" w:space="0" w:color="auto"/>
        <w:left w:val="none" w:sz="0" w:space="0" w:color="auto"/>
        <w:bottom w:val="none" w:sz="0" w:space="0" w:color="auto"/>
        <w:right w:val="none" w:sz="0" w:space="0" w:color="auto"/>
      </w:divBdr>
    </w:div>
    <w:div w:id="2025087581">
      <w:bodyDiv w:val="1"/>
      <w:marLeft w:val="0"/>
      <w:marRight w:val="0"/>
      <w:marTop w:val="0"/>
      <w:marBottom w:val="0"/>
      <w:divBdr>
        <w:top w:val="none" w:sz="0" w:space="0" w:color="auto"/>
        <w:left w:val="none" w:sz="0" w:space="0" w:color="auto"/>
        <w:bottom w:val="none" w:sz="0" w:space="0" w:color="auto"/>
        <w:right w:val="none" w:sz="0" w:space="0" w:color="auto"/>
      </w:divBdr>
    </w:div>
    <w:div w:id="2025209238">
      <w:bodyDiv w:val="1"/>
      <w:marLeft w:val="0"/>
      <w:marRight w:val="0"/>
      <w:marTop w:val="0"/>
      <w:marBottom w:val="0"/>
      <w:divBdr>
        <w:top w:val="none" w:sz="0" w:space="0" w:color="auto"/>
        <w:left w:val="none" w:sz="0" w:space="0" w:color="auto"/>
        <w:bottom w:val="none" w:sz="0" w:space="0" w:color="auto"/>
        <w:right w:val="none" w:sz="0" w:space="0" w:color="auto"/>
      </w:divBdr>
    </w:div>
    <w:div w:id="2028093050">
      <w:bodyDiv w:val="1"/>
      <w:marLeft w:val="0"/>
      <w:marRight w:val="0"/>
      <w:marTop w:val="0"/>
      <w:marBottom w:val="0"/>
      <w:divBdr>
        <w:top w:val="none" w:sz="0" w:space="0" w:color="auto"/>
        <w:left w:val="none" w:sz="0" w:space="0" w:color="auto"/>
        <w:bottom w:val="none" w:sz="0" w:space="0" w:color="auto"/>
        <w:right w:val="none" w:sz="0" w:space="0" w:color="auto"/>
      </w:divBdr>
    </w:div>
    <w:div w:id="2028410250">
      <w:bodyDiv w:val="1"/>
      <w:marLeft w:val="0"/>
      <w:marRight w:val="0"/>
      <w:marTop w:val="0"/>
      <w:marBottom w:val="0"/>
      <w:divBdr>
        <w:top w:val="none" w:sz="0" w:space="0" w:color="auto"/>
        <w:left w:val="none" w:sz="0" w:space="0" w:color="auto"/>
        <w:bottom w:val="none" w:sz="0" w:space="0" w:color="auto"/>
        <w:right w:val="none" w:sz="0" w:space="0" w:color="auto"/>
      </w:divBdr>
    </w:div>
    <w:div w:id="2032101399">
      <w:bodyDiv w:val="1"/>
      <w:marLeft w:val="0"/>
      <w:marRight w:val="0"/>
      <w:marTop w:val="0"/>
      <w:marBottom w:val="0"/>
      <w:divBdr>
        <w:top w:val="none" w:sz="0" w:space="0" w:color="auto"/>
        <w:left w:val="none" w:sz="0" w:space="0" w:color="auto"/>
        <w:bottom w:val="none" w:sz="0" w:space="0" w:color="auto"/>
        <w:right w:val="none" w:sz="0" w:space="0" w:color="auto"/>
      </w:divBdr>
    </w:div>
    <w:div w:id="2032144663">
      <w:bodyDiv w:val="1"/>
      <w:marLeft w:val="0"/>
      <w:marRight w:val="0"/>
      <w:marTop w:val="0"/>
      <w:marBottom w:val="0"/>
      <w:divBdr>
        <w:top w:val="none" w:sz="0" w:space="0" w:color="auto"/>
        <w:left w:val="none" w:sz="0" w:space="0" w:color="auto"/>
        <w:bottom w:val="none" w:sz="0" w:space="0" w:color="auto"/>
        <w:right w:val="none" w:sz="0" w:space="0" w:color="auto"/>
      </w:divBdr>
    </w:div>
    <w:div w:id="2036223715">
      <w:bodyDiv w:val="1"/>
      <w:marLeft w:val="0"/>
      <w:marRight w:val="0"/>
      <w:marTop w:val="0"/>
      <w:marBottom w:val="0"/>
      <w:divBdr>
        <w:top w:val="none" w:sz="0" w:space="0" w:color="auto"/>
        <w:left w:val="none" w:sz="0" w:space="0" w:color="auto"/>
        <w:bottom w:val="none" w:sz="0" w:space="0" w:color="auto"/>
        <w:right w:val="none" w:sz="0" w:space="0" w:color="auto"/>
      </w:divBdr>
    </w:div>
    <w:div w:id="2039313851">
      <w:bodyDiv w:val="1"/>
      <w:marLeft w:val="0"/>
      <w:marRight w:val="0"/>
      <w:marTop w:val="0"/>
      <w:marBottom w:val="0"/>
      <w:divBdr>
        <w:top w:val="none" w:sz="0" w:space="0" w:color="auto"/>
        <w:left w:val="none" w:sz="0" w:space="0" w:color="auto"/>
        <w:bottom w:val="none" w:sz="0" w:space="0" w:color="auto"/>
        <w:right w:val="none" w:sz="0" w:space="0" w:color="auto"/>
      </w:divBdr>
    </w:div>
    <w:div w:id="2042242756">
      <w:bodyDiv w:val="1"/>
      <w:marLeft w:val="0"/>
      <w:marRight w:val="0"/>
      <w:marTop w:val="0"/>
      <w:marBottom w:val="0"/>
      <w:divBdr>
        <w:top w:val="none" w:sz="0" w:space="0" w:color="auto"/>
        <w:left w:val="none" w:sz="0" w:space="0" w:color="auto"/>
        <w:bottom w:val="none" w:sz="0" w:space="0" w:color="auto"/>
        <w:right w:val="none" w:sz="0" w:space="0" w:color="auto"/>
      </w:divBdr>
    </w:div>
    <w:div w:id="2042431846">
      <w:bodyDiv w:val="1"/>
      <w:marLeft w:val="0"/>
      <w:marRight w:val="0"/>
      <w:marTop w:val="0"/>
      <w:marBottom w:val="0"/>
      <w:divBdr>
        <w:top w:val="none" w:sz="0" w:space="0" w:color="auto"/>
        <w:left w:val="none" w:sz="0" w:space="0" w:color="auto"/>
        <w:bottom w:val="none" w:sz="0" w:space="0" w:color="auto"/>
        <w:right w:val="none" w:sz="0" w:space="0" w:color="auto"/>
      </w:divBdr>
    </w:div>
    <w:div w:id="2049141303">
      <w:bodyDiv w:val="1"/>
      <w:marLeft w:val="0"/>
      <w:marRight w:val="0"/>
      <w:marTop w:val="0"/>
      <w:marBottom w:val="0"/>
      <w:divBdr>
        <w:top w:val="none" w:sz="0" w:space="0" w:color="auto"/>
        <w:left w:val="none" w:sz="0" w:space="0" w:color="auto"/>
        <w:bottom w:val="none" w:sz="0" w:space="0" w:color="auto"/>
        <w:right w:val="none" w:sz="0" w:space="0" w:color="auto"/>
      </w:divBdr>
    </w:div>
    <w:div w:id="2055032569">
      <w:bodyDiv w:val="1"/>
      <w:marLeft w:val="0"/>
      <w:marRight w:val="0"/>
      <w:marTop w:val="0"/>
      <w:marBottom w:val="0"/>
      <w:divBdr>
        <w:top w:val="none" w:sz="0" w:space="0" w:color="auto"/>
        <w:left w:val="none" w:sz="0" w:space="0" w:color="auto"/>
        <w:bottom w:val="none" w:sz="0" w:space="0" w:color="auto"/>
        <w:right w:val="none" w:sz="0" w:space="0" w:color="auto"/>
      </w:divBdr>
    </w:div>
    <w:div w:id="2060007958">
      <w:bodyDiv w:val="1"/>
      <w:marLeft w:val="0"/>
      <w:marRight w:val="0"/>
      <w:marTop w:val="0"/>
      <w:marBottom w:val="0"/>
      <w:divBdr>
        <w:top w:val="none" w:sz="0" w:space="0" w:color="auto"/>
        <w:left w:val="none" w:sz="0" w:space="0" w:color="auto"/>
        <w:bottom w:val="none" w:sz="0" w:space="0" w:color="auto"/>
        <w:right w:val="none" w:sz="0" w:space="0" w:color="auto"/>
      </w:divBdr>
    </w:div>
    <w:div w:id="2067022566">
      <w:bodyDiv w:val="1"/>
      <w:marLeft w:val="0"/>
      <w:marRight w:val="0"/>
      <w:marTop w:val="0"/>
      <w:marBottom w:val="0"/>
      <w:divBdr>
        <w:top w:val="none" w:sz="0" w:space="0" w:color="auto"/>
        <w:left w:val="none" w:sz="0" w:space="0" w:color="auto"/>
        <w:bottom w:val="none" w:sz="0" w:space="0" w:color="auto"/>
        <w:right w:val="none" w:sz="0" w:space="0" w:color="auto"/>
      </w:divBdr>
    </w:div>
    <w:div w:id="2069718152">
      <w:bodyDiv w:val="1"/>
      <w:marLeft w:val="0"/>
      <w:marRight w:val="0"/>
      <w:marTop w:val="0"/>
      <w:marBottom w:val="0"/>
      <w:divBdr>
        <w:top w:val="none" w:sz="0" w:space="0" w:color="auto"/>
        <w:left w:val="none" w:sz="0" w:space="0" w:color="auto"/>
        <w:bottom w:val="none" w:sz="0" w:space="0" w:color="auto"/>
        <w:right w:val="none" w:sz="0" w:space="0" w:color="auto"/>
      </w:divBdr>
    </w:div>
    <w:div w:id="2071806361">
      <w:bodyDiv w:val="1"/>
      <w:marLeft w:val="0"/>
      <w:marRight w:val="0"/>
      <w:marTop w:val="0"/>
      <w:marBottom w:val="0"/>
      <w:divBdr>
        <w:top w:val="none" w:sz="0" w:space="0" w:color="auto"/>
        <w:left w:val="none" w:sz="0" w:space="0" w:color="auto"/>
        <w:bottom w:val="none" w:sz="0" w:space="0" w:color="auto"/>
        <w:right w:val="none" w:sz="0" w:space="0" w:color="auto"/>
      </w:divBdr>
    </w:div>
    <w:div w:id="2076318853">
      <w:bodyDiv w:val="1"/>
      <w:marLeft w:val="0"/>
      <w:marRight w:val="0"/>
      <w:marTop w:val="0"/>
      <w:marBottom w:val="0"/>
      <w:divBdr>
        <w:top w:val="none" w:sz="0" w:space="0" w:color="auto"/>
        <w:left w:val="none" w:sz="0" w:space="0" w:color="auto"/>
        <w:bottom w:val="none" w:sz="0" w:space="0" w:color="auto"/>
        <w:right w:val="none" w:sz="0" w:space="0" w:color="auto"/>
      </w:divBdr>
    </w:div>
    <w:div w:id="2079013918">
      <w:bodyDiv w:val="1"/>
      <w:marLeft w:val="0"/>
      <w:marRight w:val="0"/>
      <w:marTop w:val="0"/>
      <w:marBottom w:val="0"/>
      <w:divBdr>
        <w:top w:val="none" w:sz="0" w:space="0" w:color="auto"/>
        <w:left w:val="none" w:sz="0" w:space="0" w:color="auto"/>
        <w:bottom w:val="none" w:sz="0" w:space="0" w:color="auto"/>
        <w:right w:val="none" w:sz="0" w:space="0" w:color="auto"/>
      </w:divBdr>
    </w:div>
    <w:div w:id="2080445124">
      <w:bodyDiv w:val="1"/>
      <w:marLeft w:val="0"/>
      <w:marRight w:val="0"/>
      <w:marTop w:val="0"/>
      <w:marBottom w:val="0"/>
      <w:divBdr>
        <w:top w:val="none" w:sz="0" w:space="0" w:color="auto"/>
        <w:left w:val="none" w:sz="0" w:space="0" w:color="auto"/>
        <w:bottom w:val="none" w:sz="0" w:space="0" w:color="auto"/>
        <w:right w:val="none" w:sz="0" w:space="0" w:color="auto"/>
      </w:divBdr>
    </w:div>
    <w:div w:id="2081321234">
      <w:bodyDiv w:val="1"/>
      <w:marLeft w:val="0"/>
      <w:marRight w:val="0"/>
      <w:marTop w:val="0"/>
      <w:marBottom w:val="0"/>
      <w:divBdr>
        <w:top w:val="none" w:sz="0" w:space="0" w:color="auto"/>
        <w:left w:val="none" w:sz="0" w:space="0" w:color="auto"/>
        <w:bottom w:val="none" w:sz="0" w:space="0" w:color="auto"/>
        <w:right w:val="none" w:sz="0" w:space="0" w:color="auto"/>
      </w:divBdr>
    </w:div>
    <w:div w:id="2089646912">
      <w:bodyDiv w:val="1"/>
      <w:marLeft w:val="0"/>
      <w:marRight w:val="0"/>
      <w:marTop w:val="0"/>
      <w:marBottom w:val="0"/>
      <w:divBdr>
        <w:top w:val="none" w:sz="0" w:space="0" w:color="auto"/>
        <w:left w:val="none" w:sz="0" w:space="0" w:color="auto"/>
        <w:bottom w:val="none" w:sz="0" w:space="0" w:color="auto"/>
        <w:right w:val="none" w:sz="0" w:space="0" w:color="auto"/>
      </w:divBdr>
    </w:div>
    <w:div w:id="2094473040">
      <w:bodyDiv w:val="1"/>
      <w:marLeft w:val="0"/>
      <w:marRight w:val="0"/>
      <w:marTop w:val="0"/>
      <w:marBottom w:val="0"/>
      <w:divBdr>
        <w:top w:val="none" w:sz="0" w:space="0" w:color="auto"/>
        <w:left w:val="none" w:sz="0" w:space="0" w:color="auto"/>
        <w:bottom w:val="none" w:sz="0" w:space="0" w:color="auto"/>
        <w:right w:val="none" w:sz="0" w:space="0" w:color="auto"/>
      </w:divBdr>
    </w:div>
    <w:div w:id="2098357873">
      <w:bodyDiv w:val="1"/>
      <w:marLeft w:val="0"/>
      <w:marRight w:val="0"/>
      <w:marTop w:val="0"/>
      <w:marBottom w:val="0"/>
      <w:divBdr>
        <w:top w:val="none" w:sz="0" w:space="0" w:color="auto"/>
        <w:left w:val="none" w:sz="0" w:space="0" w:color="auto"/>
        <w:bottom w:val="none" w:sz="0" w:space="0" w:color="auto"/>
        <w:right w:val="none" w:sz="0" w:space="0" w:color="auto"/>
      </w:divBdr>
    </w:div>
    <w:div w:id="2099519951">
      <w:bodyDiv w:val="1"/>
      <w:marLeft w:val="0"/>
      <w:marRight w:val="0"/>
      <w:marTop w:val="0"/>
      <w:marBottom w:val="0"/>
      <w:divBdr>
        <w:top w:val="none" w:sz="0" w:space="0" w:color="auto"/>
        <w:left w:val="none" w:sz="0" w:space="0" w:color="auto"/>
        <w:bottom w:val="none" w:sz="0" w:space="0" w:color="auto"/>
        <w:right w:val="none" w:sz="0" w:space="0" w:color="auto"/>
      </w:divBdr>
    </w:div>
    <w:div w:id="2099908853">
      <w:bodyDiv w:val="1"/>
      <w:marLeft w:val="0"/>
      <w:marRight w:val="0"/>
      <w:marTop w:val="0"/>
      <w:marBottom w:val="0"/>
      <w:divBdr>
        <w:top w:val="none" w:sz="0" w:space="0" w:color="auto"/>
        <w:left w:val="none" w:sz="0" w:space="0" w:color="auto"/>
        <w:bottom w:val="none" w:sz="0" w:space="0" w:color="auto"/>
        <w:right w:val="none" w:sz="0" w:space="0" w:color="auto"/>
      </w:divBdr>
    </w:div>
    <w:div w:id="2100250081">
      <w:bodyDiv w:val="1"/>
      <w:marLeft w:val="0"/>
      <w:marRight w:val="0"/>
      <w:marTop w:val="0"/>
      <w:marBottom w:val="0"/>
      <w:divBdr>
        <w:top w:val="none" w:sz="0" w:space="0" w:color="auto"/>
        <w:left w:val="none" w:sz="0" w:space="0" w:color="auto"/>
        <w:bottom w:val="none" w:sz="0" w:space="0" w:color="auto"/>
        <w:right w:val="none" w:sz="0" w:space="0" w:color="auto"/>
      </w:divBdr>
    </w:div>
    <w:div w:id="2101101375">
      <w:bodyDiv w:val="1"/>
      <w:marLeft w:val="0"/>
      <w:marRight w:val="0"/>
      <w:marTop w:val="0"/>
      <w:marBottom w:val="0"/>
      <w:divBdr>
        <w:top w:val="none" w:sz="0" w:space="0" w:color="auto"/>
        <w:left w:val="none" w:sz="0" w:space="0" w:color="auto"/>
        <w:bottom w:val="none" w:sz="0" w:space="0" w:color="auto"/>
        <w:right w:val="none" w:sz="0" w:space="0" w:color="auto"/>
      </w:divBdr>
    </w:div>
    <w:div w:id="2105687159">
      <w:bodyDiv w:val="1"/>
      <w:marLeft w:val="0"/>
      <w:marRight w:val="0"/>
      <w:marTop w:val="0"/>
      <w:marBottom w:val="0"/>
      <w:divBdr>
        <w:top w:val="none" w:sz="0" w:space="0" w:color="auto"/>
        <w:left w:val="none" w:sz="0" w:space="0" w:color="auto"/>
        <w:bottom w:val="none" w:sz="0" w:space="0" w:color="auto"/>
        <w:right w:val="none" w:sz="0" w:space="0" w:color="auto"/>
      </w:divBdr>
    </w:div>
    <w:div w:id="2109735180">
      <w:bodyDiv w:val="1"/>
      <w:marLeft w:val="0"/>
      <w:marRight w:val="0"/>
      <w:marTop w:val="0"/>
      <w:marBottom w:val="0"/>
      <w:divBdr>
        <w:top w:val="none" w:sz="0" w:space="0" w:color="auto"/>
        <w:left w:val="none" w:sz="0" w:space="0" w:color="auto"/>
        <w:bottom w:val="none" w:sz="0" w:space="0" w:color="auto"/>
        <w:right w:val="none" w:sz="0" w:space="0" w:color="auto"/>
      </w:divBdr>
    </w:div>
    <w:div w:id="2112122328">
      <w:bodyDiv w:val="1"/>
      <w:marLeft w:val="0"/>
      <w:marRight w:val="0"/>
      <w:marTop w:val="0"/>
      <w:marBottom w:val="0"/>
      <w:divBdr>
        <w:top w:val="none" w:sz="0" w:space="0" w:color="auto"/>
        <w:left w:val="none" w:sz="0" w:space="0" w:color="auto"/>
        <w:bottom w:val="none" w:sz="0" w:space="0" w:color="auto"/>
        <w:right w:val="none" w:sz="0" w:space="0" w:color="auto"/>
      </w:divBdr>
    </w:div>
    <w:div w:id="2112387460">
      <w:bodyDiv w:val="1"/>
      <w:marLeft w:val="0"/>
      <w:marRight w:val="0"/>
      <w:marTop w:val="0"/>
      <w:marBottom w:val="0"/>
      <w:divBdr>
        <w:top w:val="none" w:sz="0" w:space="0" w:color="auto"/>
        <w:left w:val="none" w:sz="0" w:space="0" w:color="auto"/>
        <w:bottom w:val="none" w:sz="0" w:space="0" w:color="auto"/>
        <w:right w:val="none" w:sz="0" w:space="0" w:color="auto"/>
      </w:divBdr>
    </w:div>
    <w:div w:id="2114127716">
      <w:bodyDiv w:val="1"/>
      <w:marLeft w:val="0"/>
      <w:marRight w:val="0"/>
      <w:marTop w:val="0"/>
      <w:marBottom w:val="0"/>
      <w:divBdr>
        <w:top w:val="none" w:sz="0" w:space="0" w:color="auto"/>
        <w:left w:val="none" w:sz="0" w:space="0" w:color="auto"/>
        <w:bottom w:val="none" w:sz="0" w:space="0" w:color="auto"/>
        <w:right w:val="none" w:sz="0" w:space="0" w:color="auto"/>
      </w:divBdr>
    </w:div>
    <w:div w:id="2116749284">
      <w:bodyDiv w:val="1"/>
      <w:marLeft w:val="0"/>
      <w:marRight w:val="0"/>
      <w:marTop w:val="0"/>
      <w:marBottom w:val="0"/>
      <w:divBdr>
        <w:top w:val="none" w:sz="0" w:space="0" w:color="auto"/>
        <w:left w:val="none" w:sz="0" w:space="0" w:color="auto"/>
        <w:bottom w:val="none" w:sz="0" w:space="0" w:color="auto"/>
        <w:right w:val="none" w:sz="0" w:space="0" w:color="auto"/>
      </w:divBdr>
    </w:div>
    <w:div w:id="2117170100">
      <w:bodyDiv w:val="1"/>
      <w:marLeft w:val="0"/>
      <w:marRight w:val="0"/>
      <w:marTop w:val="0"/>
      <w:marBottom w:val="0"/>
      <w:divBdr>
        <w:top w:val="none" w:sz="0" w:space="0" w:color="auto"/>
        <w:left w:val="none" w:sz="0" w:space="0" w:color="auto"/>
        <w:bottom w:val="none" w:sz="0" w:space="0" w:color="auto"/>
        <w:right w:val="none" w:sz="0" w:space="0" w:color="auto"/>
      </w:divBdr>
    </w:div>
    <w:div w:id="2121996516">
      <w:bodyDiv w:val="1"/>
      <w:marLeft w:val="0"/>
      <w:marRight w:val="0"/>
      <w:marTop w:val="0"/>
      <w:marBottom w:val="0"/>
      <w:divBdr>
        <w:top w:val="none" w:sz="0" w:space="0" w:color="auto"/>
        <w:left w:val="none" w:sz="0" w:space="0" w:color="auto"/>
        <w:bottom w:val="none" w:sz="0" w:space="0" w:color="auto"/>
        <w:right w:val="none" w:sz="0" w:space="0" w:color="auto"/>
      </w:divBdr>
    </w:div>
    <w:div w:id="2123568510">
      <w:bodyDiv w:val="1"/>
      <w:marLeft w:val="0"/>
      <w:marRight w:val="0"/>
      <w:marTop w:val="0"/>
      <w:marBottom w:val="0"/>
      <w:divBdr>
        <w:top w:val="none" w:sz="0" w:space="0" w:color="auto"/>
        <w:left w:val="none" w:sz="0" w:space="0" w:color="auto"/>
        <w:bottom w:val="none" w:sz="0" w:space="0" w:color="auto"/>
        <w:right w:val="none" w:sz="0" w:space="0" w:color="auto"/>
      </w:divBdr>
    </w:div>
    <w:div w:id="2126922119">
      <w:bodyDiv w:val="1"/>
      <w:marLeft w:val="0"/>
      <w:marRight w:val="0"/>
      <w:marTop w:val="0"/>
      <w:marBottom w:val="0"/>
      <w:divBdr>
        <w:top w:val="none" w:sz="0" w:space="0" w:color="auto"/>
        <w:left w:val="none" w:sz="0" w:space="0" w:color="auto"/>
        <w:bottom w:val="none" w:sz="0" w:space="0" w:color="auto"/>
        <w:right w:val="none" w:sz="0" w:space="0" w:color="auto"/>
      </w:divBdr>
    </w:div>
    <w:div w:id="2131703328">
      <w:bodyDiv w:val="1"/>
      <w:marLeft w:val="0"/>
      <w:marRight w:val="0"/>
      <w:marTop w:val="0"/>
      <w:marBottom w:val="0"/>
      <w:divBdr>
        <w:top w:val="none" w:sz="0" w:space="0" w:color="auto"/>
        <w:left w:val="none" w:sz="0" w:space="0" w:color="auto"/>
        <w:bottom w:val="none" w:sz="0" w:space="0" w:color="auto"/>
        <w:right w:val="none" w:sz="0" w:space="0" w:color="auto"/>
      </w:divBdr>
    </w:div>
    <w:div w:id="2132936601">
      <w:bodyDiv w:val="1"/>
      <w:marLeft w:val="0"/>
      <w:marRight w:val="0"/>
      <w:marTop w:val="0"/>
      <w:marBottom w:val="0"/>
      <w:divBdr>
        <w:top w:val="none" w:sz="0" w:space="0" w:color="auto"/>
        <w:left w:val="none" w:sz="0" w:space="0" w:color="auto"/>
        <w:bottom w:val="none" w:sz="0" w:space="0" w:color="auto"/>
        <w:right w:val="none" w:sz="0" w:space="0" w:color="auto"/>
      </w:divBdr>
    </w:div>
    <w:div w:id="2135050559">
      <w:bodyDiv w:val="1"/>
      <w:marLeft w:val="0"/>
      <w:marRight w:val="0"/>
      <w:marTop w:val="0"/>
      <w:marBottom w:val="0"/>
      <w:divBdr>
        <w:top w:val="none" w:sz="0" w:space="0" w:color="auto"/>
        <w:left w:val="none" w:sz="0" w:space="0" w:color="auto"/>
        <w:bottom w:val="none" w:sz="0" w:space="0" w:color="auto"/>
        <w:right w:val="none" w:sz="0" w:space="0" w:color="auto"/>
      </w:divBdr>
    </w:div>
    <w:div w:id="2138525362">
      <w:bodyDiv w:val="1"/>
      <w:marLeft w:val="0"/>
      <w:marRight w:val="0"/>
      <w:marTop w:val="0"/>
      <w:marBottom w:val="0"/>
      <w:divBdr>
        <w:top w:val="none" w:sz="0" w:space="0" w:color="auto"/>
        <w:left w:val="none" w:sz="0" w:space="0" w:color="auto"/>
        <w:bottom w:val="none" w:sz="0" w:space="0" w:color="auto"/>
        <w:right w:val="none" w:sz="0" w:space="0" w:color="auto"/>
      </w:divBdr>
    </w:div>
    <w:div w:id="2139490608">
      <w:bodyDiv w:val="1"/>
      <w:marLeft w:val="0"/>
      <w:marRight w:val="0"/>
      <w:marTop w:val="0"/>
      <w:marBottom w:val="0"/>
      <w:divBdr>
        <w:top w:val="none" w:sz="0" w:space="0" w:color="auto"/>
        <w:left w:val="none" w:sz="0" w:space="0" w:color="auto"/>
        <w:bottom w:val="none" w:sz="0" w:space="0" w:color="auto"/>
        <w:right w:val="none" w:sz="0" w:space="0" w:color="auto"/>
      </w:divBdr>
    </w:div>
    <w:div w:id="2139954692">
      <w:bodyDiv w:val="1"/>
      <w:marLeft w:val="0"/>
      <w:marRight w:val="0"/>
      <w:marTop w:val="0"/>
      <w:marBottom w:val="0"/>
      <w:divBdr>
        <w:top w:val="none" w:sz="0" w:space="0" w:color="auto"/>
        <w:left w:val="none" w:sz="0" w:space="0" w:color="auto"/>
        <w:bottom w:val="none" w:sz="0" w:space="0" w:color="auto"/>
        <w:right w:val="none" w:sz="0" w:space="0" w:color="auto"/>
      </w:divBdr>
    </w:div>
    <w:div w:id="214330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emf"/><Relationship Id="rId26" Type="http://schemas.openxmlformats.org/officeDocument/2006/relationships/image" Target="media/image10.emf"/><Relationship Id="rId3" Type="http://schemas.openxmlformats.org/officeDocument/2006/relationships/numbering" Target="numbering.xml"/><Relationship Id="rId21" Type="http://schemas.openxmlformats.org/officeDocument/2006/relationships/chart" Target="charts/chart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2.emf"/><Relationship Id="rId25" Type="http://schemas.openxmlformats.org/officeDocument/2006/relationships/image" Target="media/image9.e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8.emf"/><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image" Target="media/image7.png"/><Relationship Id="rId28" Type="http://schemas.openxmlformats.org/officeDocument/2006/relationships/header" Target="header6.xml"/><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image" Target="media/image14.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image" Target="media/image6.png"/><Relationship Id="rId27" Type="http://schemas.openxmlformats.org/officeDocument/2006/relationships/image" Target="media/image11.jpeg"/><Relationship Id="rId30"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Emma\Placement%20Support%20Program%20Dat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chemeClr val="accent2"/>
              </a:solidFill>
              <a:ln>
                <a:noFill/>
              </a:ln>
              <a:effectLst/>
            </c:spPr>
            <c:extLst>
              <c:ext xmlns:c16="http://schemas.microsoft.com/office/drawing/2014/chart" uri="{C3380CC4-5D6E-409C-BE32-E72D297353CC}">
                <c16:uniqueId val="{00000001-4E5B-495F-AF6F-A2A7AF5DEA55}"/>
              </c:ext>
            </c:extLst>
          </c:dPt>
          <c:dPt>
            <c:idx val="2"/>
            <c:invertIfNegative val="0"/>
            <c:bubble3D val="0"/>
            <c:spPr>
              <a:solidFill>
                <a:schemeClr val="accent2"/>
              </a:solidFill>
              <a:ln>
                <a:noFill/>
              </a:ln>
              <a:effectLst/>
            </c:spPr>
            <c:extLst>
              <c:ext xmlns:c16="http://schemas.microsoft.com/office/drawing/2014/chart" uri="{C3380CC4-5D6E-409C-BE32-E72D297353CC}">
                <c16:uniqueId val="{00000003-4E5B-495F-AF6F-A2A7AF5DEA55}"/>
              </c:ext>
            </c:extLst>
          </c:dPt>
          <c:dPt>
            <c:idx val="3"/>
            <c:invertIfNegative val="0"/>
            <c:bubble3D val="0"/>
            <c:spPr>
              <a:solidFill>
                <a:schemeClr val="accent2"/>
              </a:solidFill>
              <a:ln>
                <a:noFill/>
              </a:ln>
              <a:effectLst/>
            </c:spPr>
            <c:extLst>
              <c:ext xmlns:c16="http://schemas.microsoft.com/office/drawing/2014/chart" uri="{C3380CC4-5D6E-409C-BE32-E72D297353CC}">
                <c16:uniqueId val="{00000005-4E5B-495F-AF6F-A2A7AF5DEA55}"/>
              </c:ext>
            </c:extLst>
          </c:dPt>
          <c:dPt>
            <c:idx val="4"/>
            <c:invertIfNegative val="0"/>
            <c:bubble3D val="0"/>
            <c:spPr>
              <a:solidFill>
                <a:schemeClr val="accent2"/>
              </a:solidFill>
              <a:ln>
                <a:noFill/>
              </a:ln>
              <a:effectLst/>
            </c:spPr>
            <c:extLst>
              <c:ext xmlns:c16="http://schemas.microsoft.com/office/drawing/2014/chart" uri="{C3380CC4-5D6E-409C-BE32-E72D297353CC}">
                <c16:uniqueId val="{00000007-4E5B-495F-AF6F-A2A7AF5DEA55}"/>
              </c:ext>
            </c:extLst>
          </c:dPt>
          <c:dPt>
            <c:idx val="5"/>
            <c:invertIfNegative val="0"/>
            <c:bubble3D val="0"/>
            <c:spPr>
              <a:solidFill>
                <a:schemeClr val="accent2"/>
              </a:solidFill>
              <a:ln>
                <a:noFill/>
              </a:ln>
              <a:effectLst/>
            </c:spPr>
            <c:extLst>
              <c:ext xmlns:c16="http://schemas.microsoft.com/office/drawing/2014/chart" uri="{C3380CC4-5D6E-409C-BE32-E72D297353CC}">
                <c16:uniqueId val="{00000009-4E5B-495F-AF6F-A2A7AF5DEA55}"/>
              </c:ext>
            </c:extLst>
          </c:dPt>
          <c:dPt>
            <c:idx val="6"/>
            <c:invertIfNegative val="0"/>
            <c:bubble3D val="0"/>
            <c:spPr>
              <a:solidFill>
                <a:schemeClr val="accent2"/>
              </a:solidFill>
              <a:ln>
                <a:noFill/>
              </a:ln>
              <a:effectLst/>
            </c:spPr>
            <c:extLst>
              <c:ext xmlns:c16="http://schemas.microsoft.com/office/drawing/2014/chart" uri="{C3380CC4-5D6E-409C-BE32-E72D297353CC}">
                <c16:uniqueId val="{0000000B-4E5B-495F-AF6F-A2A7AF5DEA55}"/>
              </c:ext>
            </c:extLst>
          </c:dPt>
          <c:cat>
            <c:strRef>
              <c:f>'Sheet4 (3)'!$K$22:$K$37</c:f>
              <c:strCache>
                <c:ptCount val="16"/>
                <c:pt idx="0">
                  <c:v>La Trobe University</c:v>
                </c:pt>
                <c:pt idx="1">
                  <c:v>University of Newcastle</c:v>
                </c:pt>
                <c:pt idx="2">
                  <c:v>JCU</c:v>
                </c:pt>
                <c:pt idx="3">
                  <c:v>Monash University</c:v>
                </c:pt>
                <c:pt idx="4">
                  <c:v>CDU</c:v>
                </c:pt>
                <c:pt idx="5">
                  <c:v>UoSA</c:v>
                </c:pt>
                <c:pt idx="6">
                  <c:v>USyd</c:v>
                </c:pt>
                <c:pt idx="7">
                  <c:v>QUT</c:v>
                </c:pt>
                <c:pt idx="8">
                  <c:v>UTas</c:v>
                </c:pt>
                <c:pt idx="9">
                  <c:v>University of Canberra</c:v>
                </c:pt>
                <c:pt idx="10">
                  <c:v>University of New England</c:v>
                </c:pt>
                <c:pt idx="11">
                  <c:v>UoQ</c:v>
                </c:pt>
                <c:pt idx="12">
                  <c:v>UTS</c:v>
                </c:pt>
                <c:pt idx="13">
                  <c:v>Charles Sturt</c:v>
                </c:pt>
                <c:pt idx="14">
                  <c:v>Griffith University</c:v>
                </c:pt>
                <c:pt idx="15">
                  <c:v>Curtin University</c:v>
                </c:pt>
              </c:strCache>
            </c:strRef>
          </c:cat>
          <c:val>
            <c:numRef>
              <c:f>'Sheet4 (3)'!$N$22:$N$37</c:f>
              <c:numCache>
                <c:formatCode>0%</c:formatCode>
                <c:ptCount val="16"/>
                <c:pt idx="0">
                  <c:v>0.28384279475982532</c:v>
                </c:pt>
                <c:pt idx="1">
                  <c:v>0.18887262079062958</c:v>
                </c:pt>
                <c:pt idx="2">
                  <c:v>0.18012422360248448</c:v>
                </c:pt>
                <c:pt idx="3">
                  <c:v>0.13453255637192804</c:v>
                </c:pt>
                <c:pt idx="4">
                  <c:v>0.32558139534883723</c:v>
                </c:pt>
                <c:pt idx="5">
                  <c:v>0.11856474258970359</c:v>
                </c:pt>
                <c:pt idx="6">
                  <c:v>5.4673366834170851E-2</c:v>
                </c:pt>
                <c:pt idx="7">
                  <c:v>3.026634382566586E-2</c:v>
                </c:pt>
                <c:pt idx="8">
                  <c:v>0.23809523809523808</c:v>
                </c:pt>
                <c:pt idx="9">
                  <c:v>0.18134715025906736</c:v>
                </c:pt>
                <c:pt idx="10">
                  <c:v>4.2931162102146557E-2</c:v>
                </c:pt>
                <c:pt idx="11">
                  <c:v>2.6459143968871595E-2</c:v>
                </c:pt>
                <c:pt idx="12">
                  <c:v>0.17391304347826086</c:v>
                </c:pt>
                <c:pt idx="13">
                  <c:v>0.102861562258314</c:v>
                </c:pt>
                <c:pt idx="14">
                  <c:v>4.8601299802204012E-2</c:v>
                </c:pt>
                <c:pt idx="15">
                  <c:v>5.3513513513513515E-2</c:v>
                </c:pt>
              </c:numCache>
            </c:numRef>
          </c:val>
          <c:extLst>
            <c:ext xmlns:c16="http://schemas.microsoft.com/office/drawing/2014/chart" uri="{C3380CC4-5D6E-409C-BE32-E72D297353CC}">
              <c16:uniqueId val="{0000000C-4E5B-495F-AF6F-A2A7AF5DEA55}"/>
            </c:ext>
          </c:extLst>
        </c:ser>
        <c:dLbls>
          <c:showLegendKey val="0"/>
          <c:showVal val="0"/>
          <c:showCatName val="0"/>
          <c:showSerName val="0"/>
          <c:showPercent val="0"/>
          <c:showBubbleSize val="0"/>
        </c:dLbls>
        <c:gapWidth val="219"/>
        <c:overlap val="-27"/>
        <c:axId val="50865664"/>
        <c:axId val="50867200"/>
      </c:barChart>
      <c:catAx>
        <c:axId val="5086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867200"/>
        <c:crosses val="autoZero"/>
        <c:auto val="1"/>
        <c:lblAlgn val="ctr"/>
        <c:lblOffset val="100"/>
        <c:noMultiLvlLbl val="0"/>
      </c:catAx>
      <c:valAx>
        <c:axId val="508672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865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787878"/>
      </a:dk2>
      <a:lt2>
        <a:srgbClr val="FFF200"/>
      </a:lt2>
      <a:accent1>
        <a:srgbClr val="FFF200"/>
      </a:accent1>
      <a:accent2>
        <a:srgbClr val="4B4B4B"/>
      </a:accent2>
      <a:accent3>
        <a:srgbClr val="787878"/>
      </a:accent3>
      <a:accent4>
        <a:srgbClr val="A0A0A0"/>
      </a:accent4>
      <a:accent5>
        <a:srgbClr val="BEBEBE"/>
      </a:accent5>
      <a:accent6>
        <a:srgbClr val="DCDCDC"/>
      </a:accent6>
      <a:hlink>
        <a:srgbClr val="787878"/>
      </a:hlink>
      <a:folHlink>
        <a:srgbClr val="BEBEBE"/>
      </a:folHlink>
    </a:clrScheme>
    <a:fontScheme name="HMA Report">
      <a:majorFont>
        <a:latin typeface="Franklin Gothic Book"/>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F6EA09-9E6D-4612-A57A-B7D4EE28D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23385</Words>
  <Characters>133297</Characters>
  <Application>Microsoft Office Word</Application>
  <DocSecurity>0</DocSecurity>
  <Lines>1110</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2019-04-01T23:12:00Z</dcterms:created>
  <dcterms:modified xsi:type="dcterms:W3CDTF">2019-04-11T04:54:00Z</dcterms:modified>
  <cp:category/>
</cp:coreProperties>
</file>